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2A29A">
      <w:pPr>
        <w:jc w:val="center"/>
        <w:rPr>
          <w:rFonts w:hint="eastAsia" w:ascii="宋体" w:hAnsi="宋体"/>
          <w:b/>
          <w:color w:val="auto"/>
          <w:kern w:val="44"/>
          <w:sz w:val="44"/>
          <w:lang w:val="en-US" w:eastAsia="zh-CN"/>
        </w:rPr>
      </w:pPr>
      <w:bookmarkStart w:id="6" w:name="_GoBack"/>
      <w:r>
        <w:rPr>
          <w:rFonts w:hint="eastAsia" w:ascii="宋体" w:hAnsi="宋体"/>
          <w:b/>
          <w:color w:val="auto"/>
          <w:kern w:val="44"/>
          <w:sz w:val="44"/>
          <w:lang w:val="en-US" w:eastAsia="zh-CN"/>
        </w:rPr>
        <w:t>都江堰市人民医院</w:t>
      </w:r>
    </w:p>
    <w:p w14:paraId="3F474B65">
      <w:pPr>
        <w:jc w:val="center"/>
        <w:rPr>
          <w:rFonts w:hint="eastAsia" w:ascii="PingFang SC" w:hAnsi="PingFang SC" w:eastAsia="PingFang SC" w:cs="PingFang SC"/>
          <w:color w:val="auto"/>
          <w:sz w:val="24"/>
          <w:szCs w:val="24"/>
          <w:lang w:eastAsia="zh-Hans"/>
        </w:rPr>
      </w:pPr>
      <w:r>
        <w:rPr>
          <w:rFonts w:hint="eastAsia" w:ascii="宋体" w:hAnsi="宋体"/>
          <w:b/>
          <w:color w:val="auto"/>
          <w:kern w:val="44"/>
          <w:sz w:val="44"/>
          <w:lang w:val="en-US" w:eastAsia="zh-CN"/>
        </w:rPr>
        <w:t>信息化机房辅助业务双活建设</w:t>
      </w:r>
      <w:r>
        <w:rPr>
          <w:rFonts w:hint="eastAsia" w:ascii="宋体" w:hAnsi="宋体"/>
          <w:b/>
          <w:color w:val="auto"/>
          <w:kern w:val="44"/>
          <w:sz w:val="44"/>
          <w:lang w:val="en-US" w:eastAsia="zh-Hans"/>
        </w:rPr>
        <w:t>要求</w:t>
      </w:r>
      <w:bookmarkEnd w:id="6"/>
    </w:p>
    <w:p w14:paraId="002E55AE">
      <w:pPr>
        <w:pStyle w:val="2"/>
        <w:ind w:firstLine="0" w:firstLineChars="0"/>
        <w:rPr>
          <w:rFonts w:hint="eastAsia" w:ascii="宋体" w:hAnsi="宋体" w:cs="宋体"/>
          <w:color w:val="auto"/>
          <w:sz w:val="24"/>
          <w:szCs w:val="24"/>
        </w:rPr>
      </w:pPr>
      <w:bookmarkStart w:id="0" w:name="_Toc646185310"/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一、建设</w:t>
      </w:r>
      <w:r>
        <w:rPr>
          <w:rFonts w:hint="eastAsia" w:ascii="宋体" w:hAnsi="宋体" w:cs="宋体"/>
          <w:color w:val="auto"/>
          <w:sz w:val="24"/>
          <w:szCs w:val="24"/>
        </w:rPr>
        <w:t>要求</w:t>
      </w:r>
      <w:bookmarkEnd w:id="0"/>
    </w:p>
    <w:p w14:paraId="68300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szCs w:val="28"/>
          <w:lang w:val="en-US" w:eastAsia="zh-CN"/>
        </w:rPr>
      </w:pPr>
      <w:r>
        <w:rPr>
          <w:rFonts w:hint="eastAsia"/>
          <w:color w:val="auto"/>
          <w:sz w:val="24"/>
          <w:szCs w:val="28"/>
          <w:lang w:val="en-US" w:eastAsia="zh-CN"/>
        </w:rPr>
        <w:t>目前，我院在老机房拥有一套计算和存储分离部署的基础设施，这套系统稳定保障医院业务应用系统的高效运转。然而，为了进一步提升业务连续性和数据安全性，我院计划构建一个双活数据中心，实现计算和存储的全双活架构。这一架构将极大地提高系统的可用性和灵活性，确保关键业务的不间断运行，即使在发生硬件故障或网络问题时也能保持我院服务的连续性。</w:t>
      </w:r>
    </w:p>
    <w:p w14:paraId="7140A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szCs w:val="28"/>
          <w:lang w:val="en-US" w:eastAsia="zh-CN"/>
        </w:rPr>
      </w:pPr>
      <w:r>
        <w:rPr>
          <w:rFonts w:hint="eastAsia"/>
          <w:color w:val="auto"/>
          <w:sz w:val="24"/>
          <w:szCs w:val="28"/>
          <w:lang w:val="en-US" w:eastAsia="zh-CN"/>
        </w:rPr>
        <w:t>此外，双活数据中心的建设将涉及到对现有计算和存储产品的升级和续保，以确保技术的先进性和服务的稳定性。升级后的系统将采用更高性能的计算资源和更可靠的存储解决方案，以支持医院日益增长的业务需求，确保在技术升级的同时，</w:t>
      </w:r>
      <w:r>
        <w:rPr>
          <w:rFonts w:hint="eastAsia"/>
          <w:color w:val="auto"/>
          <w:sz w:val="24"/>
          <w:szCs w:val="28"/>
          <w:lang w:val="en-US" w:eastAsia="zh-Hans"/>
        </w:rPr>
        <w:t>辅助业务的在线</w:t>
      </w:r>
      <w:r>
        <w:rPr>
          <w:rFonts w:hint="eastAsia"/>
          <w:color w:val="auto"/>
          <w:sz w:val="24"/>
          <w:szCs w:val="28"/>
          <w:lang w:val="en-US" w:eastAsia="zh-CN"/>
        </w:rPr>
        <w:t>连续性和稳定性得到有效的保障。</w:t>
      </w:r>
    </w:p>
    <w:p w14:paraId="3E357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szCs w:val="28"/>
          <w:lang w:val="en-US" w:eastAsia="zh-CN"/>
        </w:rPr>
      </w:pPr>
      <w:r>
        <w:rPr>
          <w:rFonts w:hint="eastAsia"/>
          <w:color w:val="auto"/>
          <w:sz w:val="24"/>
          <w:szCs w:val="28"/>
          <w:lang w:val="en-US" w:eastAsia="zh-CN"/>
        </w:rPr>
        <w:t>通过构建双活数据中心和对现有基础设施的升级、续保，我院将能够更好地应对未来医疗行业的发展需求，为患者提供更高效、更安全的医疗服务，同时为医院的长远发展奠定坚实的基础。</w:t>
      </w:r>
    </w:p>
    <w:p w14:paraId="06DB0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szCs w:val="28"/>
          <w:lang w:val="en-US" w:eastAsia="zh-CN"/>
        </w:rPr>
      </w:pPr>
      <w:r>
        <w:rPr>
          <w:rFonts w:hint="eastAsia"/>
          <w:color w:val="auto"/>
          <w:sz w:val="24"/>
          <w:szCs w:val="28"/>
          <w:lang w:val="en-US" w:eastAsia="zh-CN"/>
        </w:rPr>
        <w:t>我院现有设备清单：</w:t>
      </w:r>
    </w:p>
    <w:tbl>
      <w:tblPr>
        <w:tblStyle w:val="10"/>
        <w:tblW w:w="60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53"/>
        <w:gridCol w:w="1528"/>
        <w:gridCol w:w="1516"/>
      </w:tblGrid>
      <w:tr w14:paraId="19160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8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5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15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96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品牌</w:t>
            </w:r>
          </w:p>
        </w:tc>
        <w:tc>
          <w:tcPr>
            <w:tcW w:w="15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A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72D83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1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BD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服务器-管理、计算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D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Hans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Hans" w:bidi="ar"/>
              </w:rPr>
              <w:t>可控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2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7台</w:t>
            </w:r>
          </w:p>
        </w:tc>
      </w:tr>
      <w:tr w14:paraId="6E748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4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9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服务器-存储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7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Hans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Hans" w:bidi="ar"/>
              </w:rPr>
              <w:t>可控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7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3台</w:t>
            </w:r>
          </w:p>
        </w:tc>
      </w:tr>
      <w:tr w14:paraId="5F2DC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3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81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云平台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F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ZStack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8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1套</w:t>
            </w:r>
          </w:p>
        </w:tc>
      </w:tr>
      <w:tr w14:paraId="731A2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4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4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存储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A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XSKY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4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3节点</w:t>
            </w:r>
          </w:p>
        </w:tc>
      </w:tr>
      <w:tr w14:paraId="66E82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B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3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万兆交换机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9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Hans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Hans" w:bidi="ar"/>
              </w:rPr>
              <w:t>浪潮网络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1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610A7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E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D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千兆交换机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A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Hans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Hans" w:bidi="ar"/>
              </w:rPr>
              <w:t>浪潮网络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2台</w:t>
            </w:r>
          </w:p>
        </w:tc>
      </w:tr>
    </w:tbl>
    <w:p w14:paraId="137A5DD2">
      <w:pPr>
        <w:pStyle w:val="2"/>
        <w:ind w:firstLine="0" w:firstLineChars="0"/>
        <w:rPr>
          <w:rFonts w:hint="eastAsia" w:ascii="PingFang SC" w:hAnsi="PingFang SC" w:eastAsia="PingFang SC" w:cs="PingFang SC"/>
          <w:color w:val="auto"/>
          <w:sz w:val="24"/>
          <w:szCs w:val="24"/>
          <w:lang w:val="en-US" w:eastAsia="zh-CN"/>
        </w:rPr>
      </w:pPr>
      <w:bookmarkStart w:id="1" w:name="_Toc611702291"/>
      <w:r>
        <w:rPr>
          <w:rFonts w:hint="eastAsia" w:ascii="PingFang SC" w:hAnsi="PingFang SC" w:eastAsia="PingFang SC" w:cs="PingFang SC"/>
          <w:color w:val="auto"/>
          <w:sz w:val="24"/>
          <w:szCs w:val="24"/>
          <w:lang w:val="en-US" w:eastAsia="zh-CN"/>
        </w:rPr>
        <w:t>二、方案要求：</w:t>
      </w:r>
      <w:bookmarkEnd w:id="1"/>
    </w:p>
    <w:p w14:paraId="5DF460F5">
      <w:pPr>
        <w:spacing w:line="360" w:lineRule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基于上述设备清单，</w:t>
      </w:r>
      <w:r>
        <w:rPr>
          <w:rFonts w:hint="eastAsia"/>
          <w:color w:val="auto"/>
          <w:sz w:val="24"/>
          <w:szCs w:val="24"/>
          <w:lang w:val="en-US" w:eastAsia="zh-Hans"/>
        </w:rPr>
        <w:t>完成</w:t>
      </w:r>
      <w:r>
        <w:rPr>
          <w:rFonts w:hint="eastAsia"/>
          <w:color w:val="auto"/>
          <w:sz w:val="24"/>
          <w:szCs w:val="24"/>
          <w:lang w:val="en-US" w:eastAsia="zh-CN"/>
        </w:rPr>
        <w:t>我院辅助业务平台双活建设。</w:t>
      </w:r>
    </w:p>
    <w:p w14:paraId="211CC331">
      <w:pPr>
        <w:spacing w:line="360" w:lineRule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1、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云平台侧，</w:t>
      </w:r>
      <w:r>
        <w:rPr>
          <w:rFonts w:hint="eastAsia"/>
          <w:color w:val="auto"/>
          <w:sz w:val="24"/>
          <w:szCs w:val="24"/>
          <w:lang w:val="en-US" w:eastAsia="zh-CN"/>
        </w:rPr>
        <w:t>可通过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原平台进行统一管理。</w:t>
      </w:r>
    </w:p>
    <w:p w14:paraId="48AA3033">
      <w:pPr>
        <w:spacing w:line="360" w:lineRule="auto"/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2、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存储侧，</w:t>
      </w:r>
      <w:r>
        <w:rPr>
          <w:rFonts w:hint="default"/>
          <w:sz w:val="24"/>
          <w:szCs w:val="28"/>
          <w:lang w:val="en-US" w:eastAsia="zh-CN"/>
        </w:rPr>
        <w:t>基于统一数据平台，实现数据层的双活架构，配合</w:t>
      </w:r>
      <w:r>
        <w:rPr>
          <w:rFonts w:hint="eastAsia"/>
          <w:sz w:val="24"/>
          <w:szCs w:val="28"/>
          <w:lang w:val="en-US" w:eastAsia="zh-CN"/>
        </w:rPr>
        <w:t>云</w:t>
      </w:r>
      <w:r>
        <w:rPr>
          <w:rFonts w:hint="default"/>
          <w:sz w:val="24"/>
          <w:szCs w:val="28"/>
          <w:lang w:val="en-US" w:eastAsia="zh-CN"/>
        </w:rPr>
        <w:t>平台的双活机制，实现应用程序双活架构，</w:t>
      </w:r>
      <w:r>
        <w:rPr>
          <w:rFonts w:hint="eastAsia"/>
          <w:sz w:val="24"/>
          <w:szCs w:val="28"/>
          <w:lang w:val="en-US" w:eastAsia="zh-Hans"/>
        </w:rPr>
        <w:t>分布式</w:t>
      </w:r>
      <w:r>
        <w:rPr>
          <w:rFonts w:hint="default"/>
          <w:sz w:val="24"/>
          <w:szCs w:val="28"/>
          <w:lang w:val="en-US" w:eastAsia="zh-CN"/>
        </w:rPr>
        <w:t>内存储面向应用层通过延展集群创建的延展池，可以将副本分布在不同的数据中心，保证数据强一致性，实现存储数据的双活架构。</w:t>
      </w:r>
    </w:p>
    <w:p w14:paraId="388E4A01">
      <w:pPr>
        <w:spacing w:line="360" w:lineRule="auto"/>
        <w:rPr>
          <w:rFonts w:hint="default" w:ascii="宋体" w:hAnsi="宋体" w:cs="宋体"/>
          <w:b w:val="0"/>
          <w:bCs w:val="0"/>
          <w:color w:val="262626" w:themeColor="text1" w:themeTint="D9"/>
          <w:sz w:val="24"/>
          <w:szCs w:val="2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sz w:val="24"/>
          <w:szCs w:val="28"/>
          <w:lang w:val="en-US" w:eastAsia="zh-CN"/>
        </w:rPr>
        <w:t>3、</w:t>
      </w:r>
      <w:r>
        <w:rPr>
          <w:rFonts w:hint="eastAsia"/>
          <w:b/>
          <w:bCs/>
          <w:sz w:val="24"/>
          <w:szCs w:val="28"/>
          <w:lang w:val="en-US" w:eastAsia="zh-CN"/>
        </w:rPr>
        <w:t>网络侧，</w:t>
      </w:r>
      <w:r>
        <w:rPr>
          <w:rFonts w:hint="eastAsia"/>
          <w:sz w:val="24"/>
          <w:szCs w:val="28"/>
          <w:lang w:val="en-US" w:eastAsia="zh-CN"/>
        </w:rPr>
        <w:t>管理层面、业务层面、存储层面均实现跨机房冗余、跨机房堆叠。</w:t>
      </w:r>
    </w:p>
    <w:p w14:paraId="450E237E">
      <w:pPr>
        <w:pStyle w:val="2"/>
        <w:ind w:firstLine="0" w:firstLineChars="0"/>
        <w:rPr>
          <w:rFonts w:hint="eastAsia" w:ascii="PingFang SC" w:hAnsi="PingFang SC" w:eastAsia="PingFang SC" w:cs="PingFang SC"/>
          <w:color w:val="auto"/>
          <w:sz w:val="24"/>
          <w:szCs w:val="24"/>
          <w:lang w:val="en-US" w:eastAsia="zh-CN"/>
        </w:rPr>
      </w:pPr>
      <w:bookmarkStart w:id="2" w:name="_Toc876186648"/>
      <w:r>
        <w:rPr>
          <w:rFonts w:hint="eastAsia" w:ascii="PingFang SC" w:hAnsi="PingFang SC" w:eastAsia="PingFang SC" w:cs="PingFang SC"/>
          <w:color w:val="auto"/>
          <w:sz w:val="24"/>
          <w:szCs w:val="24"/>
          <w:lang w:val="en-US" w:eastAsia="zh-CN"/>
        </w:rPr>
        <w:t>三、技术要求：</w:t>
      </w:r>
      <w:bookmarkEnd w:id="2"/>
    </w:p>
    <w:p w14:paraId="0CB28ED5">
      <w:pPr>
        <w:spacing w:line="360" w:lineRule="auto"/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此次方案具体要求如下：</w:t>
      </w:r>
    </w:p>
    <w:tbl>
      <w:tblPr>
        <w:tblStyle w:val="10"/>
        <w:tblW w:w="8613" w:type="dxa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012"/>
        <w:gridCol w:w="4097"/>
        <w:gridCol w:w="850"/>
        <w:gridCol w:w="850"/>
        <w:gridCol w:w="1023"/>
      </w:tblGrid>
      <w:tr w14:paraId="09592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1" w:type="dxa"/>
            <w:shd w:val="clear" w:color="auto" w:fill="auto"/>
            <w:vAlign w:val="center"/>
          </w:tcPr>
          <w:p w14:paraId="48E5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C65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16E1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配置信息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04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E2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146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6184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781" w:type="dxa"/>
            <w:shd w:val="clear" w:color="auto" w:fill="auto"/>
            <w:vAlign w:val="center"/>
          </w:tcPr>
          <w:p w14:paraId="04CF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3058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云平台管理节点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2EB8D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CPU：海光国产 16核心 2.4GHz CPU 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内存：配置128GB内存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系统盘：960G 2.5 SATA R SSD*2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网卡：4个1G网口+2个万兆网口（带模块）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Raid卡：支持硬件Raid1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电源：冗余电源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8C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D7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4F0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2E9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781" w:type="dxa"/>
            <w:shd w:val="clear" w:color="auto" w:fill="auto"/>
            <w:vAlign w:val="center"/>
          </w:tcPr>
          <w:p w14:paraId="1BDC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378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云平台计算节点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6045F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跟原来节点同系统管理软件平台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CPU：海光国产 16核心 2.4GHz CPU 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内存：配置512GB内存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系统盘：480G 2.5 SATA R SSD*2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网卡：4个1G网口+4个万兆网口（带模块）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Raid卡：支持硬件Raid1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电源：冗余电源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7B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86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050A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85F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781" w:type="dxa"/>
            <w:shd w:val="clear" w:color="auto" w:fill="auto"/>
            <w:vAlign w:val="center"/>
          </w:tcPr>
          <w:p w14:paraId="3594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12" w:type="dxa"/>
            <w:shd w:val="clear" w:color="auto" w:fill="FFFFFF"/>
            <w:vAlign w:val="center"/>
          </w:tcPr>
          <w:p w14:paraId="08EB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云平台软件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3A0DCAE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服务器虚拟化：将物理服务器CPU、内存等进行虚拟化池化，为上层应用弹性计算资源服务，支持业内所有主流X86服务器型号，支持管理节点高可用和虚拟机高可用、云主机快照等全部功能；2、配置存储虚拟化对接模块：支持对接管理多种存储类型，包括本地存储、集中存储（NFS/iSCSI/FC）、分布式存储等，为云主机提供块存储服务；3、配置云盘管理功能：支持云盘QoS功能，支持共享云盘功能，支持在线云盘扩容功能，支持云盘快照、克隆、创建镜像功能；4、配置高级网络虚拟化软件模块：支持分布式扁平网络模型，提供分布式DHCP服务，消除网络性能瓶颈及单点故障，支持VPC网络模型，支持SR-IOV、智能网卡等高性能网卡功能，提供不受数量限制的弹性IP、虚拟路由器、虚拟防火墙、虚拟安全组、虚拟负载均衡，支持OSPF动态路由协议、SNAT网络服务、组播路由、端口转发、NetFlow等高级网络功能；支持二层网络隔离功能：支持noVLAN、VLAN、Vxlan，支持网络东西向、南北向QoS功能；支持硬件Vxlan对接添加SDN控制器，支持配置基于TCP/UDP端口的三层安全策略隔离；5、配置云平台企业级功能模块：支持所有主流GPU设备透传和虚拟化功能；支持云主机弹性伸缩管理功能；支持大屏监控功能；支持计量计费功能；支持VDI协议；6、配置平台监控管理模块，提供物理机、虚拟机资源运行状态及关键指标（如CPU、内存、网卡、磁盘等资源）用量展示和发布功能；</w:t>
            </w:r>
          </w:p>
          <w:p w14:paraId="0F3316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为满足平台统一建设，云平台须被现有云平台进行纳管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B0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77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Han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套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580E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为满足平台统一建设，云平台须被现有云平台进行纳管</w:t>
            </w:r>
          </w:p>
        </w:tc>
      </w:tr>
      <w:tr w14:paraId="6F681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81" w:type="dxa"/>
            <w:shd w:val="clear" w:color="auto" w:fill="auto"/>
            <w:vAlign w:val="center"/>
          </w:tcPr>
          <w:p w14:paraId="1CAF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12" w:type="dxa"/>
            <w:shd w:val="clear" w:color="auto" w:fill="FFFFFF"/>
            <w:vAlign w:val="center"/>
          </w:tcPr>
          <w:p w14:paraId="5541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分布式存储节点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1558E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跟原来节点同系统管理软件平台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CPU：海光国产16核心 2.4GHz CPU 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内存：配置128GB内存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系统盘：960G 2.5 SATA R SSD*2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缓存盘：480G 2.5 SATA M SSD*2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数据盘：10TB 3.5吋7.2K 6Gb SATA硬盘*8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网卡：4个1G网口+4个万兆网口（带模块）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Raid卡：9560-8i 4G -E4x8 SE Tri-M RAID卡-SA*1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电源：冗余电源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7D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A8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51CB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6C7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781" w:type="dxa"/>
            <w:shd w:val="clear" w:color="auto" w:fill="auto"/>
            <w:vAlign w:val="center"/>
          </w:tcPr>
          <w:p w14:paraId="02B5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12" w:type="dxa"/>
            <w:shd w:val="clear" w:color="auto" w:fill="FFFFFF"/>
            <w:vAlign w:val="center"/>
          </w:tcPr>
          <w:p w14:paraId="6F0C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双活存储仲裁服务器节点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1BE71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CPU：海光国产 16核心 2.4GHz CPU 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内存：配置128GB内存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系统盘：960G 2.5 SATA R SSD*2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网卡：4个1G网口+2个万兆网口（带模块）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Raid卡：支持硬件Raid1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电源：冗余电源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28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20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6DF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存储仲裁节点</w:t>
            </w:r>
          </w:p>
        </w:tc>
      </w:tr>
      <w:tr w14:paraId="0AE98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81" w:type="dxa"/>
            <w:shd w:val="clear" w:color="auto" w:fill="auto"/>
            <w:vAlign w:val="center"/>
          </w:tcPr>
          <w:p w14:paraId="3D19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6178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分布式存储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763FA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配置分布式存储统一存储平台授权：功能授权包含：分布式 NAS、分布式 NAS WORM、分布式 NAS 文件快照、分布式 NAS 文件配额、分布式 NAS 目录QoS、分布式 NAS 负载均衡、功能VDI加速、功能云集成、卷在线迁移、卷异步复制、卷快照备份、块存储基本功能、块存储定时快照、基础ROW快照、基础XSpeed存储池、基础一致性组快照、基础故障域、基础数据 EC、基础数据副本、基础自动精简配置、对象桶复制、对象桶归档、对象桶快照、对象深度归档、对象回源重定向、对象多版本、对象存储基本功能、对象属性查询、对象数据流动、对象海量小文件、对象路由跨域、数据保护云备份、数据保护基本功能、数据保护异地备份、数据保护本地备份、文件存储AD、文件存储LDAP；支持存储协议：块存储 CSI 接口、块存储 RBD 接口、块存储 iSCSI 接口、块存储 本地 SCSI 接口、对象存储 S3 接口、文件存储 CIFS 接口、文件存储 CSI 接口、文件存储 FTP 接口、文件存储 HDFS 接口、文件存储 NFS 接口、阿里云 OSS 接口；</w:t>
            </w:r>
          </w:p>
          <w:p w14:paraId="1A885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为满足平台统一建设，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存储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须被现有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存储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进行纳管</w:t>
            </w:r>
            <w:r>
              <w:rPr>
                <w:rFonts w:hint="default" w:ascii="宋体" w:hAnsi="宋体" w:cs="宋体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分布式存储-延展集群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服务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D5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13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节点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42C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为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实现存储双活效果，需与原存储构建为延展集群架构</w:t>
            </w:r>
          </w:p>
        </w:tc>
      </w:tr>
      <w:tr w14:paraId="09FCC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1" w:type="dxa"/>
            <w:shd w:val="clear" w:color="auto" w:fill="auto"/>
            <w:vAlign w:val="center"/>
          </w:tcPr>
          <w:p w14:paraId="5D1F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1F5D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业务/存储交换机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58A053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24个1G/10Gbps SFP+光纤接口和2 个40/ 100G QSFP28 端口光纤接口，支持两个扩展插槽，双电源。10GBASE-SR SFP+光模块*12，多模，850nm，双LC，OM3 50μm光纤传输最大300M，OM4 50μm光纤传输最大400M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4A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13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DD5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9AD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1" w:type="dxa"/>
            <w:shd w:val="clear" w:color="auto" w:fill="auto"/>
            <w:vAlign w:val="center"/>
          </w:tcPr>
          <w:p w14:paraId="3014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061C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管理交换机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07B885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S6220交换机，48个 10/100/1000Base-T电口, 4个万兆SFP+光口，双电源插槽，含两个75W电源，交流220V供电。原厂维保3年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63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0D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363E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35C4CC36">
      <w:pPr>
        <w:rPr>
          <w:rFonts w:hint="default"/>
          <w:lang w:val="en-US" w:eastAsia="zh-CN"/>
        </w:rPr>
      </w:pPr>
    </w:p>
    <w:p w14:paraId="66A4A7DB">
      <w:pPr>
        <w:pStyle w:val="2"/>
        <w:numPr>
          <w:ilvl w:val="0"/>
          <w:numId w:val="0"/>
        </w:numPr>
        <w:ind w:firstLine="0" w:firstLineChars="0"/>
        <w:rPr>
          <w:rFonts w:hint="default" w:ascii="PingFang SC" w:hAnsi="PingFang SC" w:eastAsia="PingFang SC" w:cs="PingFang SC"/>
          <w:color w:val="auto"/>
          <w:sz w:val="24"/>
          <w:szCs w:val="24"/>
          <w:lang w:val="en-US" w:eastAsia="zh-CN"/>
        </w:rPr>
      </w:pPr>
      <w:bookmarkStart w:id="3" w:name="_Toc773625457"/>
      <w:r>
        <w:rPr>
          <w:rFonts w:hint="eastAsia" w:ascii="PingFang SC" w:hAnsi="PingFang SC" w:eastAsia="PingFang SC" w:cs="PingFang SC"/>
          <w:b/>
          <w:color w:val="auto"/>
          <w:kern w:val="44"/>
          <w:sz w:val="24"/>
          <w:szCs w:val="24"/>
          <w:lang w:val="en-US" w:eastAsia="zh-CN" w:bidi="ar-SA"/>
        </w:rPr>
        <w:t>四、</w:t>
      </w:r>
      <w:r>
        <w:rPr>
          <w:rFonts w:hint="eastAsia" w:ascii="PingFang SC" w:hAnsi="PingFang SC" w:eastAsia="PingFang SC" w:cs="PingFang SC"/>
          <w:color w:val="auto"/>
          <w:sz w:val="24"/>
          <w:szCs w:val="24"/>
          <w:lang w:val="en-US" w:eastAsia="zh-CN"/>
        </w:rPr>
        <w:t>服务要求</w:t>
      </w:r>
      <w:r>
        <w:rPr>
          <w:rFonts w:hint="default" w:ascii="PingFang SC" w:hAnsi="PingFang SC" w:eastAsia="PingFang SC" w:cs="PingFang SC"/>
          <w:color w:val="auto"/>
          <w:sz w:val="24"/>
          <w:szCs w:val="24"/>
          <w:lang w:val="en-US" w:eastAsia="zh-CN"/>
        </w:rPr>
        <w:t>：</w:t>
      </w:r>
      <w:bookmarkEnd w:id="3"/>
    </w:p>
    <w:p w14:paraId="7B3CE939">
      <w:pPr>
        <w:numPr>
          <w:ilvl w:val="0"/>
          <w:numId w:val="0"/>
        </w:numPr>
        <w:spacing w:line="360" w:lineRule="auto"/>
        <w:ind w:left="420" w:leftChars="0" w:hanging="420"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一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  <w:r>
        <w:rPr>
          <w:rFonts w:hint="eastAsia"/>
          <w:b/>
          <w:bCs/>
          <w:sz w:val="24"/>
          <w:szCs w:val="24"/>
        </w:rPr>
        <w:t>管理服务要求：</w:t>
      </w:r>
    </w:p>
    <w:p w14:paraId="7770FD00">
      <w:pPr>
        <w:spacing w:line="360" w:lineRule="auto"/>
        <w:rPr>
          <w:rFonts w:hint="eastAsia" w:eastAsia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color w:val="auto"/>
          <w:sz w:val="24"/>
          <w:szCs w:val="24"/>
          <w:lang w:val="en-US" w:eastAsia="zh-CN"/>
        </w:rPr>
        <w:t>为实现平台双活统一建设，云平台</w:t>
      </w:r>
      <w:r>
        <w:rPr>
          <w:rFonts w:hint="default" w:eastAsia="宋体"/>
          <w:b w:val="0"/>
          <w:bCs w:val="0"/>
          <w:color w:val="auto"/>
          <w:sz w:val="24"/>
          <w:szCs w:val="24"/>
          <w:lang w:val="en-US" w:eastAsia="zh-CN"/>
        </w:rPr>
        <w:t>、</w:t>
      </w:r>
      <w:r>
        <w:rPr>
          <w:rFonts w:hint="eastAsia" w:eastAsia="宋体"/>
          <w:b w:val="0"/>
          <w:bCs w:val="0"/>
          <w:color w:val="auto"/>
          <w:sz w:val="24"/>
          <w:szCs w:val="24"/>
          <w:lang w:val="en-US" w:eastAsia="zh-Hans"/>
        </w:rPr>
        <w:t>存储均</w:t>
      </w:r>
      <w:r>
        <w:rPr>
          <w:rFonts w:hint="eastAsia" w:eastAsia="宋体"/>
          <w:b w:val="0"/>
          <w:bCs w:val="0"/>
          <w:color w:val="auto"/>
          <w:sz w:val="24"/>
          <w:szCs w:val="24"/>
          <w:lang w:val="en-US" w:eastAsia="zh-CN"/>
        </w:rPr>
        <w:t>须被现有云平台</w:t>
      </w:r>
      <w:r>
        <w:rPr>
          <w:rFonts w:hint="default" w:eastAsia="宋体"/>
          <w:b w:val="0"/>
          <w:bCs w:val="0"/>
          <w:color w:val="auto"/>
          <w:sz w:val="24"/>
          <w:szCs w:val="24"/>
          <w:lang w:val="en-US" w:eastAsia="zh-CN"/>
        </w:rPr>
        <w:t>、</w:t>
      </w:r>
      <w:r>
        <w:rPr>
          <w:rFonts w:hint="eastAsia" w:eastAsia="宋体"/>
          <w:b w:val="0"/>
          <w:bCs w:val="0"/>
          <w:color w:val="auto"/>
          <w:sz w:val="24"/>
          <w:szCs w:val="24"/>
          <w:lang w:val="en-US" w:eastAsia="zh-Hans"/>
        </w:rPr>
        <w:t>存储存储</w:t>
      </w:r>
      <w:r>
        <w:rPr>
          <w:rFonts w:hint="eastAsia" w:eastAsia="宋体"/>
          <w:b w:val="0"/>
          <w:bCs w:val="0"/>
          <w:color w:val="auto"/>
          <w:sz w:val="24"/>
          <w:szCs w:val="24"/>
          <w:lang w:val="en-US" w:eastAsia="zh-CN"/>
        </w:rPr>
        <w:t>进行纳管</w:t>
      </w:r>
      <w:r>
        <w:rPr>
          <w:rFonts w:hint="default" w:eastAsia="宋体"/>
          <w:b w:val="0"/>
          <w:bCs w:val="0"/>
          <w:color w:val="auto"/>
          <w:sz w:val="24"/>
          <w:szCs w:val="24"/>
          <w:lang w:val="en-US" w:eastAsia="zh-CN"/>
        </w:rPr>
        <w:t>（</w:t>
      </w:r>
      <w:r>
        <w:rPr>
          <w:rFonts w:hint="eastAsia" w:eastAsia="宋体"/>
          <w:b w:val="0"/>
          <w:bCs w:val="0"/>
          <w:color w:val="auto"/>
          <w:sz w:val="24"/>
          <w:szCs w:val="24"/>
          <w:lang w:val="en-US" w:eastAsia="zh-CN"/>
        </w:rPr>
        <w:t>提供承诺函并加盖</w:t>
      </w:r>
      <w:r>
        <w:rPr>
          <w:rFonts w:hint="eastAsia" w:eastAsia="宋体"/>
          <w:b w:val="0"/>
          <w:bCs w:val="0"/>
          <w:color w:val="auto"/>
          <w:sz w:val="24"/>
          <w:szCs w:val="24"/>
          <w:lang w:val="en-US" w:eastAsia="zh-Hans"/>
        </w:rPr>
        <w:t>投标人</w:t>
      </w:r>
      <w:r>
        <w:rPr>
          <w:rFonts w:hint="eastAsia" w:eastAsia="宋体"/>
          <w:b w:val="0"/>
          <w:bCs w:val="0"/>
          <w:color w:val="auto"/>
          <w:sz w:val="24"/>
          <w:szCs w:val="24"/>
          <w:lang w:val="en-US" w:eastAsia="zh-CN"/>
        </w:rPr>
        <w:t>公章</w:t>
      </w:r>
      <w:r>
        <w:rPr>
          <w:rFonts w:hint="default" w:eastAsia="宋体"/>
          <w:b w:val="0"/>
          <w:bCs w:val="0"/>
          <w:color w:val="auto"/>
          <w:sz w:val="24"/>
          <w:szCs w:val="24"/>
          <w:lang w:val="en-US" w:eastAsia="zh-CN"/>
        </w:rPr>
        <w:t>，</w:t>
      </w:r>
      <w:r>
        <w:rPr>
          <w:rFonts w:hint="eastAsia" w:eastAsia="宋体"/>
          <w:b w:val="0"/>
          <w:bCs w:val="0"/>
          <w:color w:val="auto"/>
          <w:sz w:val="24"/>
          <w:szCs w:val="24"/>
          <w:lang w:val="en-US" w:eastAsia="zh-Hans"/>
        </w:rPr>
        <w:t>格式自拟</w:t>
      </w:r>
      <w:r>
        <w:rPr>
          <w:rFonts w:hint="default" w:eastAsia="宋体"/>
          <w:b w:val="0"/>
          <w:bCs w:val="0"/>
          <w:color w:val="auto"/>
          <w:sz w:val="24"/>
          <w:szCs w:val="24"/>
          <w:lang w:val="en-US" w:eastAsia="zh-CN"/>
        </w:rPr>
        <w:t>）</w:t>
      </w:r>
      <w:r>
        <w:rPr>
          <w:rFonts w:hint="eastAsia" w:eastAsia="宋体"/>
          <w:b w:val="0"/>
          <w:bCs w:val="0"/>
          <w:color w:val="auto"/>
          <w:sz w:val="24"/>
          <w:szCs w:val="24"/>
          <w:lang w:val="en-US" w:eastAsia="zh-CN"/>
        </w:rPr>
        <w:t>；</w:t>
      </w:r>
    </w:p>
    <w:p w14:paraId="7AF9D084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89E0103">
      <w:pPr>
        <w:numPr>
          <w:ilvl w:val="0"/>
          <w:numId w:val="0"/>
        </w:numPr>
        <w:spacing w:line="360" w:lineRule="auto"/>
        <w:ind w:left="420" w:leftChars="0" w:hanging="420" w:firstLineChars="0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（二）安装调试服务：</w:t>
      </w:r>
    </w:p>
    <w:p w14:paraId="16C9986C">
      <w:pPr>
        <w:numPr>
          <w:ilvl w:val="0"/>
          <w:numId w:val="0"/>
        </w:numPr>
        <w:spacing w:line="360" w:lineRule="auto"/>
        <w:ind w:leftChars="0"/>
        <w:rPr>
          <w:rFonts w:hint="default" w:eastAsia="宋体"/>
          <w:b w:val="0"/>
          <w:bCs w:val="0"/>
          <w:color w:val="auto"/>
          <w:sz w:val="24"/>
          <w:szCs w:val="24"/>
          <w:lang w:eastAsia="zh-Hans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完成上述软硬件产品所有安装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Hans"/>
        </w:rPr>
        <w:t>上架连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调试工作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Hans"/>
        </w:rPr>
        <w:t>及核心业务线上数据迁移</w:t>
      </w:r>
      <w:r>
        <w:rPr>
          <w:rFonts w:hint="default"/>
          <w:b w:val="0"/>
          <w:bCs w:val="0"/>
          <w:color w:val="auto"/>
          <w:sz w:val="24"/>
          <w:szCs w:val="24"/>
          <w:lang w:eastAsia="zh-Hans"/>
        </w:rPr>
        <w:t>、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Hans"/>
        </w:rPr>
        <w:t>数据校验工作</w:t>
      </w:r>
      <w:r>
        <w:rPr>
          <w:rFonts w:hint="default"/>
          <w:b w:val="0"/>
          <w:bCs w:val="0"/>
          <w:color w:val="auto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Hans"/>
        </w:rPr>
        <w:t>最终实现核心业务双活平台交付</w:t>
      </w:r>
      <w:r>
        <w:rPr>
          <w:rFonts w:hint="default"/>
          <w:b w:val="0"/>
          <w:bCs w:val="0"/>
          <w:color w:val="auto"/>
          <w:sz w:val="24"/>
          <w:szCs w:val="24"/>
          <w:lang w:eastAsia="zh-Hans"/>
        </w:rPr>
        <w:t>。</w:t>
      </w:r>
    </w:p>
    <w:p w14:paraId="606E51AD">
      <w:pPr>
        <w:numPr>
          <w:ilvl w:val="0"/>
          <w:numId w:val="0"/>
        </w:numPr>
        <w:spacing w:line="360" w:lineRule="auto"/>
        <w:ind w:left="420" w:leftChars="0" w:hanging="420" w:firstLineChars="0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（三）质保服务要求：</w:t>
      </w:r>
    </w:p>
    <w:p w14:paraId="1910CFB7">
      <w:pPr>
        <w:spacing w:line="360" w:lineRule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1、服务器侧，</w:t>
      </w:r>
      <w:r>
        <w:rPr>
          <w:rFonts w:hint="eastAsia" w:ascii="宋体" w:hAnsi="宋体" w:cs="宋体"/>
          <w:b w:val="0"/>
          <w:bCs w:val="0"/>
          <w:color w:val="262626" w:themeColor="text1" w:themeTint="D9"/>
          <w:sz w:val="24"/>
          <w:szCs w:val="2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年7*24小时原厂技术支持服务。</w:t>
      </w:r>
    </w:p>
    <w:p w14:paraId="301CBC8F">
      <w:pPr>
        <w:spacing w:line="360" w:lineRule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2、云平台侧，3年7*24小时原厂技术支持服务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3031ACAC">
      <w:pPr>
        <w:spacing w:line="360" w:lineRule="auto"/>
        <w:rPr>
          <w:rFonts w:hint="eastAsia"/>
          <w:b w:val="0"/>
          <w:bCs w:val="0"/>
          <w:sz w:val="24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3、存储侧，3年7*24小时原厂技术支持服务</w:t>
      </w:r>
      <w:r>
        <w:rPr>
          <w:rFonts w:hint="eastAsia"/>
          <w:b w:val="0"/>
          <w:bCs w:val="0"/>
          <w:sz w:val="24"/>
          <w:szCs w:val="28"/>
          <w:lang w:val="en-US" w:eastAsia="zh-CN"/>
        </w:rPr>
        <w:t>。</w:t>
      </w:r>
    </w:p>
    <w:p w14:paraId="535A81A4">
      <w:pPr>
        <w:numPr>
          <w:ilvl w:val="0"/>
          <w:numId w:val="0"/>
        </w:numPr>
        <w:spacing w:line="360" w:lineRule="auto"/>
        <w:ind w:left="420" w:leftChars="0" w:hanging="420" w:firstLineChars="0"/>
        <w:rPr>
          <w:rFonts w:hint="default" w:eastAsia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8"/>
          <w:lang w:val="en-US" w:eastAsia="zh-CN"/>
        </w:rPr>
        <w:t>4、医院现有设备清单中所列产品，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3年7*24小时原厂技术支持服务</w:t>
      </w:r>
      <w:r>
        <w:rPr>
          <w:rFonts w:hint="eastAsia"/>
          <w:b w:val="0"/>
          <w:bCs w:val="0"/>
          <w:sz w:val="24"/>
          <w:szCs w:val="28"/>
          <w:lang w:val="en-US" w:eastAsia="zh-CN"/>
        </w:rPr>
        <w:t>。</w:t>
      </w:r>
    </w:p>
    <w:p w14:paraId="4CF7BCAB">
      <w:pPr>
        <w:rPr>
          <w:rFonts w:hint="default"/>
          <w:lang w:eastAsia="zh-Hans"/>
        </w:rPr>
      </w:pPr>
      <w:r>
        <w:rPr>
          <w:rFonts w:hint="default"/>
          <w:lang w:eastAsia="zh-Hans"/>
        </w:rPr>
        <w:br w:type="page"/>
      </w:r>
    </w:p>
    <w:p w14:paraId="304F63F9">
      <w:pPr>
        <w:widowControl/>
        <w:spacing w:line="360" w:lineRule="auto"/>
        <w:jc w:val="left"/>
        <w:outlineLvl w:val="0"/>
        <w:rPr>
          <w:rFonts w:hint="eastAsia" w:eastAsia="宋体"/>
          <w:lang w:val="en-US" w:eastAsia="zh-Hans"/>
        </w:rPr>
      </w:pPr>
      <w:bookmarkStart w:id="4" w:name="_Toc310413703"/>
      <w:bookmarkStart w:id="5" w:name="_Toc1457056861"/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附件（报价单）：</w:t>
      </w:r>
      <w:bookmarkEnd w:id="4"/>
      <w:bookmarkEnd w:id="5"/>
    </w:p>
    <w:tbl>
      <w:tblPr>
        <w:tblStyle w:val="10"/>
        <w:tblpPr w:leftFromText="180" w:rightFromText="180" w:vertAnchor="text" w:horzAnchor="page" w:tblpX="1465" w:tblpY="519"/>
        <w:tblOverlap w:val="never"/>
        <w:tblW w:w="97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730"/>
        <w:gridCol w:w="2982"/>
        <w:gridCol w:w="1110"/>
        <w:gridCol w:w="1163"/>
        <w:gridCol w:w="1786"/>
      </w:tblGrid>
      <w:tr w14:paraId="4604D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D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报价单</w:t>
            </w:r>
          </w:p>
        </w:tc>
      </w:tr>
      <w:tr w14:paraId="32A86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0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Hans" w:bidi="ar"/>
              </w:rPr>
              <w:t>号</w:t>
            </w:r>
          </w:p>
        </w:tc>
        <w:tc>
          <w:tcPr>
            <w:tcW w:w="4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2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32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Hans" w:bidi="ar"/>
              </w:rPr>
              <w:t>数量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6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9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报价（元）</w:t>
            </w:r>
          </w:p>
        </w:tc>
      </w:tr>
      <w:tr w14:paraId="532E5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6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1</w:t>
            </w: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0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辅助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业务双活平台建设技术要求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A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云平台管理节点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5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F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CC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EFB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0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2</w:t>
            </w:r>
          </w:p>
        </w:tc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BF9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5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云平台计算节点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4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F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C6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CEB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2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3</w:t>
            </w:r>
          </w:p>
        </w:tc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DE6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1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云平台软件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1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7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套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24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0A6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9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98B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8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分布式存储节点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0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0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2E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9729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4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E4A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8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双活存储仲裁服务器节点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2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F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DB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14D5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F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DE1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7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分布式存储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4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8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B9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891B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8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C8A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9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业务/存储交换机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8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3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台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9A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0B79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E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EC5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A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管理交换机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B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B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B0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EA5B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7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ABF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9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医院现有设备维保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2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9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A9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25C1680D">
      <w:pPr>
        <w:rPr>
          <w:rFonts w:hint="default"/>
          <w:lang w:eastAsia="zh-CN"/>
        </w:rPr>
      </w:pPr>
    </w:p>
    <w:sectPr>
      <w:footerReference r:id="rId3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0F5A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B37715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B37715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817EB8"/>
    <w:multiLevelType w:val="multilevel"/>
    <w:tmpl w:val="FF817EB8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pStyle w:val="13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>
    <w:nsid w:val="FFAFC610"/>
    <w:multiLevelType w:val="singleLevel"/>
    <w:tmpl w:val="FFAFC6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hYWIyN2RhM2M4YzExYTg4MmVmNjNmNjgwZWE0MDgifQ=="/>
  </w:docVars>
  <w:rsids>
    <w:rsidRoot w:val="57BFE796"/>
    <w:rsid w:val="000A18C4"/>
    <w:rsid w:val="00136126"/>
    <w:rsid w:val="0018277A"/>
    <w:rsid w:val="0019596D"/>
    <w:rsid w:val="001C6CCF"/>
    <w:rsid w:val="001F1716"/>
    <w:rsid w:val="00207FCB"/>
    <w:rsid w:val="00217807"/>
    <w:rsid w:val="00257FB5"/>
    <w:rsid w:val="00370066"/>
    <w:rsid w:val="003913DA"/>
    <w:rsid w:val="00411B78"/>
    <w:rsid w:val="00473201"/>
    <w:rsid w:val="00512066"/>
    <w:rsid w:val="00780743"/>
    <w:rsid w:val="00811B31"/>
    <w:rsid w:val="008E1224"/>
    <w:rsid w:val="009E7552"/>
    <w:rsid w:val="00A773AE"/>
    <w:rsid w:val="00AA2082"/>
    <w:rsid w:val="00AD16C7"/>
    <w:rsid w:val="00BE70D9"/>
    <w:rsid w:val="00CE32C2"/>
    <w:rsid w:val="00CF4623"/>
    <w:rsid w:val="00D40797"/>
    <w:rsid w:val="00E83E57"/>
    <w:rsid w:val="00EF1C77"/>
    <w:rsid w:val="00EF54F4"/>
    <w:rsid w:val="00F46F97"/>
    <w:rsid w:val="00FA73F0"/>
    <w:rsid w:val="056E7681"/>
    <w:rsid w:val="08DB681C"/>
    <w:rsid w:val="097BC248"/>
    <w:rsid w:val="0D4F2CDD"/>
    <w:rsid w:val="0DFB8358"/>
    <w:rsid w:val="127F43A9"/>
    <w:rsid w:val="190259E9"/>
    <w:rsid w:val="1E4ABFB9"/>
    <w:rsid w:val="20D905F9"/>
    <w:rsid w:val="20F0301D"/>
    <w:rsid w:val="277FF165"/>
    <w:rsid w:val="29D97B91"/>
    <w:rsid w:val="2CDF74B5"/>
    <w:rsid w:val="2F5FA068"/>
    <w:rsid w:val="2F7F2578"/>
    <w:rsid w:val="35013B8B"/>
    <w:rsid w:val="35D61B0D"/>
    <w:rsid w:val="3D948C03"/>
    <w:rsid w:val="3DD71220"/>
    <w:rsid w:val="3F337662"/>
    <w:rsid w:val="3FEBE792"/>
    <w:rsid w:val="3FEDB74D"/>
    <w:rsid w:val="3FFBA475"/>
    <w:rsid w:val="3FFFDC4C"/>
    <w:rsid w:val="449904E5"/>
    <w:rsid w:val="44EA6DBE"/>
    <w:rsid w:val="47BF0E75"/>
    <w:rsid w:val="4FC27EC7"/>
    <w:rsid w:val="5280328E"/>
    <w:rsid w:val="55FF91D5"/>
    <w:rsid w:val="57BFE796"/>
    <w:rsid w:val="57EBF3A9"/>
    <w:rsid w:val="5893104F"/>
    <w:rsid w:val="5A30431C"/>
    <w:rsid w:val="5C63064F"/>
    <w:rsid w:val="5E3BC936"/>
    <w:rsid w:val="5F9ECFBC"/>
    <w:rsid w:val="63B36E9D"/>
    <w:rsid w:val="64B65811"/>
    <w:rsid w:val="66EF15B6"/>
    <w:rsid w:val="673B5091"/>
    <w:rsid w:val="6A5F7003"/>
    <w:rsid w:val="6B9A8C81"/>
    <w:rsid w:val="6DF5AE0D"/>
    <w:rsid w:val="6F2BAEED"/>
    <w:rsid w:val="6F4F3C3B"/>
    <w:rsid w:val="6F7E49DD"/>
    <w:rsid w:val="6FDC416D"/>
    <w:rsid w:val="6FDFFDD7"/>
    <w:rsid w:val="6FF5022E"/>
    <w:rsid w:val="6FF79B0C"/>
    <w:rsid w:val="6FF7D99D"/>
    <w:rsid w:val="6FF7E4FC"/>
    <w:rsid w:val="6FFBD045"/>
    <w:rsid w:val="6FFF615E"/>
    <w:rsid w:val="71485B49"/>
    <w:rsid w:val="731FFD6E"/>
    <w:rsid w:val="737FA49D"/>
    <w:rsid w:val="745030C6"/>
    <w:rsid w:val="74CF5491"/>
    <w:rsid w:val="75FF1F75"/>
    <w:rsid w:val="76F51D6A"/>
    <w:rsid w:val="77759D61"/>
    <w:rsid w:val="77DA77DC"/>
    <w:rsid w:val="77FF729F"/>
    <w:rsid w:val="7941AB80"/>
    <w:rsid w:val="7BAB2EC3"/>
    <w:rsid w:val="7BDBCBF4"/>
    <w:rsid w:val="7BEDF9F1"/>
    <w:rsid w:val="7BF3183C"/>
    <w:rsid w:val="7BF730A2"/>
    <w:rsid w:val="7BFB68C1"/>
    <w:rsid w:val="7BFB7106"/>
    <w:rsid w:val="7DA76412"/>
    <w:rsid w:val="7DBDD521"/>
    <w:rsid w:val="7E7FC77D"/>
    <w:rsid w:val="7EBE5369"/>
    <w:rsid w:val="7EFB2B9C"/>
    <w:rsid w:val="7F5F7F60"/>
    <w:rsid w:val="7F9AE51F"/>
    <w:rsid w:val="7F9FEC37"/>
    <w:rsid w:val="7FBBB325"/>
    <w:rsid w:val="7FBBF6F4"/>
    <w:rsid w:val="7FD6F39F"/>
    <w:rsid w:val="7FDB83CD"/>
    <w:rsid w:val="7FFB22A4"/>
    <w:rsid w:val="7FFC1F3F"/>
    <w:rsid w:val="7FFCD392"/>
    <w:rsid w:val="87FFF34E"/>
    <w:rsid w:val="9D51DAF7"/>
    <w:rsid w:val="9E7EE432"/>
    <w:rsid w:val="A6DABCC3"/>
    <w:rsid w:val="BD1568E9"/>
    <w:rsid w:val="BDFC354A"/>
    <w:rsid w:val="BEDD40B6"/>
    <w:rsid w:val="BEF73929"/>
    <w:rsid w:val="BF7F4715"/>
    <w:rsid w:val="BFBEA901"/>
    <w:rsid w:val="BFE7534C"/>
    <w:rsid w:val="BFFF302C"/>
    <w:rsid w:val="C36951ED"/>
    <w:rsid w:val="C69A0451"/>
    <w:rsid w:val="CCFB93E5"/>
    <w:rsid w:val="CEBDD9CE"/>
    <w:rsid w:val="D7FB6995"/>
    <w:rsid w:val="DA778318"/>
    <w:rsid w:val="DDBB85F1"/>
    <w:rsid w:val="DDED0374"/>
    <w:rsid w:val="DDED338D"/>
    <w:rsid w:val="DE776F3C"/>
    <w:rsid w:val="DEDC26D6"/>
    <w:rsid w:val="DEF746C2"/>
    <w:rsid w:val="DEF99CA0"/>
    <w:rsid w:val="DFB32FEA"/>
    <w:rsid w:val="DFEF7563"/>
    <w:rsid w:val="DFFA9110"/>
    <w:rsid w:val="E1FF25DC"/>
    <w:rsid w:val="E37B9BB1"/>
    <w:rsid w:val="E56CE41E"/>
    <w:rsid w:val="E6EEBAE6"/>
    <w:rsid w:val="EAF93D98"/>
    <w:rsid w:val="EAFFEF90"/>
    <w:rsid w:val="EB7F73CE"/>
    <w:rsid w:val="EEC32789"/>
    <w:rsid w:val="EF1B84B1"/>
    <w:rsid w:val="EFFB485C"/>
    <w:rsid w:val="EFFD3859"/>
    <w:rsid w:val="F31F07B8"/>
    <w:rsid w:val="F37CC625"/>
    <w:rsid w:val="F4BD0505"/>
    <w:rsid w:val="F75A478E"/>
    <w:rsid w:val="F7FF70BE"/>
    <w:rsid w:val="F7FFE946"/>
    <w:rsid w:val="F98FB286"/>
    <w:rsid w:val="F9F59E70"/>
    <w:rsid w:val="FA6B093D"/>
    <w:rsid w:val="FAAD1648"/>
    <w:rsid w:val="FBB27462"/>
    <w:rsid w:val="FBEFABA5"/>
    <w:rsid w:val="FBFCF546"/>
    <w:rsid w:val="FBFDB52A"/>
    <w:rsid w:val="FBFF12E9"/>
    <w:rsid w:val="FBFF1EEB"/>
    <w:rsid w:val="FBFFCA65"/>
    <w:rsid w:val="FCFC96D3"/>
    <w:rsid w:val="FDAF8F28"/>
    <w:rsid w:val="FDBD1308"/>
    <w:rsid w:val="FE774564"/>
    <w:rsid w:val="FEAFACD8"/>
    <w:rsid w:val="FED75435"/>
    <w:rsid w:val="FEFE362D"/>
    <w:rsid w:val="FEFF4D5F"/>
    <w:rsid w:val="FEFFB545"/>
    <w:rsid w:val="FF6DDBAF"/>
    <w:rsid w:val="FFB72335"/>
    <w:rsid w:val="FFBC574E"/>
    <w:rsid w:val="FFD949CB"/>
    <w:rsid w:val="FFDB8914"/>
    <w:rsid w:val="FFDD08E7"/>
    <w:rsid w:val="FFDF03E6"/>
    <w:rsid w:val="FFED520D"/>
    <w:rsid w:val="FFF9EFAD"/>
    <w:rsid w:val="FFFD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ind w:firstLine="200" w:firstLineChars="200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rPr>
      <w:sz w:val="18"/>
      <w:szCs w:val="24"/>
    </w:rPr>
  </w:style>
  <w:style w:type="paragraph" w:styleId="6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标题 5（有编号）（绿盟科技）"/>
    <w:basedOn w:val="1"/>
    <w:next w:val="14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 w:cs="黑体"/>
      <w:b/>
      <w:kern w:val="0"/>
      <w:sz w:val="24"/>
      <w:szCs w:val="28"/>
    </w:rPr>
  </w:style>
  <w:style w:type="paragraph" w:customStyle="1" w:styleId="14">
    <w:name w:val="正文（绿盟科技）"/>
    <w:qFormat/>
    <w:uiPriority w:val="0"/>
    <w:pPr>
      <w:spacing w:line="300" w:lineRule="auto"/>
      <w:ind w:firstLine="480" w:firstLineChars="200"/>
    </w:pPr>
    <w:rPr>
      <w:rFonts w:ascii="宋体" w:hAnsi="宋体" w:eastAsia="宋体" w:cs="黑体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 w:val="24"/>
    </w:rPr>
  </w:style>
  <w:style w:type="character" w:customStyle="1" w:styleId="16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7">
    <w:name w:val="font2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paragraph" w:customStyle="1" w:styleId="19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0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1">
    <w:name w:val="页眉 字符"/>
    <w:basedOn w:val="12"/>
    <w:link w:val="7"/>
    <w:qFormat/>
    <w:uiPriority w:val="0"/>
    <w:rPr>
      <w:kern w:val="2"/>
      <w:sz w:val="18"/>
      <w:szCs w:val="18"/>
    </w:rPr>
  </w:style>
  <w:style w:type="character" w:customStyle="1" w:styleId="22">
    <w:name w:val="页脚 字符"/>
    <w:basedOn w:val="12"/>
    <w:link w:val="6"/>
    <w:qFormat/>
    <w:uiPriority w:val="0"/>
    <w:rPr>
      <w:kern w:val="2"/>
      <w:sz w:val="18"/>
      <w:szCs w:val="18"/>
    </w:rPr>
  </w:style>
  <w:style w:type="paragraph" w:customStyle="1" w:styleId="23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2209</Words>
  <Characters>2592</Characters>
  <Lines>79</Lines>
  <Paragraphs>22</Paragraphs>
  <TotalTime>0</TotalTime>
  <ScaleCrop>false</ScaleCrop>
  <LinksUpToDate>false</LinksUpToDate>
  <CharactersWithSpaces>2678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2024-03-29T09:43:00Z</dcterms:created>
  <dc:creator>Administrator</dc:creator>
  <cp:lastModifiedBy>欢乐的蜀黍</cp:lastModifiedBy>
  <cp:lastPrinted>2025-01-06T08:53:54Z</cp:lastPrinted>
  <dcterms:modified xsi:type="dcterms:W3CDTF">2025-01-06T09:03:27Z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A11850280FB64910A411054E258162D6_13</vt:lpwstr>
  </property>
  <property fmtid="{D5CDD505-2E9C-101B-9397-08002B2CF9AE}" pid="4" name="KSOTemplateDocerSaveRecord">
    <vt:lpwstr>eyJoZGlkIjoiMDZhYWIyN2RhM2M4YzExYTg4MmVmNjNmNjgwZWE0MDgiLCJ1c2VySWQiOiIyMDgxNTQ4NiJ9</vt:lpwstr>
  </property>
</Properties>
</file>