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A48705">
      <w:pPr>
        <w:pStyle w:val="2"/>
        <w:bidi w:val="0"/>
        <w:jc w:val="center"/>
        <w:rPr>
          <w:rFonts w:hint="eastAsia" w:ascii="宋体" w:hAnsi="宋体" w:eastAsia="宋体" w:cs="宋体"/>
          <w:color w:val="auto"/>
        </w:rPr>
      </w:pPr>
      <w:r>
        <w:rPr>
          <w:rFonts w:hint="eastAsia" w:ascii="宋体" w:hAnsi="宋体" w:eastAsia="宋体" w:cs="宋体"/>
          <w:b/>
          <w:bCs/>
          <w:sz w:val="30"/>
          <w:szCs w:val="30"/>
        </w:rPr>
        <w:t>采购项目服务内容和商务要求</w:t>
      </w:r>
    </w:p>
    <w:p w14:paraId="6A1891E0">
      <w:pPr>
        <w:pStyle w:val="4"/>
        <w:spacing w:after="0" w:line="360" w:lineRule="auto"/>
        <w:ind w:firstLine="241" w:firstLineChars="100"/>
        <w:textAlignment w:val="baseline"/>
        <w:rPr>
          <w:rFonts w:hint="eastAsia" w:ascii="宋体" w:hAnsi="宋体" w:eastAsia="宋体" w:cs="宋体"/>
          <w:b/>
          <w:color w:val="auto"/>
        </w:rPr>
      </w:pPr>
      <w:bookmarkStart w:id="0" w:name="_Toc9488_WPSOffice_Level1"/>
      <w:bookmarkStart w:id="1" w:name="_Toc9751"/>
      <w:bookmarkStart w:id="2" w:name="_Toc26746"/>
      <w:bookmarkStart w:id="3" w:name="_Toc22183"/>
      <w:bookmarkStart w:id="4" w:name="_Toc16976"/>
      <w:r>
        <w:rPr>
          <w:rFonts w:hint="eastAsia" w:ascii="宋体" w:hAnsi="宋体" w:eastAsia="宋体" w:cs="宋体"/>
          <w:b/>
          <w:color w:val="auto"/>
        </w:rPr>
        <w:t>一、项目概况</w:t>
      </w:r>
    </w:p>
    <w:p w14:paraId="0641562E">
      <w:pPr>
        <w:spacing w:line="360" w:lineRule="auto"/>
        <w:ind w:firstLine="480" w:firstLineChars="200"/>
        <w:rPr>
          <w:rFonts w:hint="eastAsia" w:ascii="宋体" w:hAnsi="宋体" w:eastAsia="宋体" w:cs="宋体"/>
          <w:sz w:val="24"/>
        </w:rPr>
      </w:pPr>
      <w:r>
        <w:rPr>
          <w:rFonts w:hint="eastAsia" w:ascii="宋体" w:hAnsi="宋体" w:eastAsia="宋体" w:cs="宋体"/>
          <w:sz w:val="24"/>
        </w:rPr>
        <w:t>根据省生态环境厅省自然资源厅《关于加强建设用地土壤环境联动监管的通知》(川环函〔2022〕667号)、内江市自然资源和规划局《关于开展“一住两公”地块土壤污染状况调查工作的通知》(内市自然资规发〔2024〕167号)文件要求。</w:t>
      </w:r>
    </w:p>
    <w:p w14:paraId="4D4D6E6C">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在每年年初编制公布的国有建设用地供应计划经市国土空间规划委员会土地资源专题会审议，经市人民政府批复后，开展拟供应“一住两公”地块的土壤污染状况调查工作。此项工作也被纳入了生态环境主管部门的考核。</w:t>
      </w:r>
    </w:p>
    <w:p w14:paraId="5576171A">
      <w:pPr>
        <w:pStyle w:val="6"/>
        <w:spacing w:after="0" w:line="360" w:lineRule="auto"/>
        <w:ind w:firstLine="241"/>
        <w:rPr>
          <w:rFonts w:ascii="宋体" w:hAnsi="宋体" w:eastAsia="宋体" w:cs="宋体"/>
          <w:sz w:val="24"/>
          <w:szCs w:val="24"/>
        </w:rPr>
      </w:pPr>
      <w:r>
        <w:rPr>
          <w:rFonts w:ascii="宋体" w:hAnsi="宋体" w:eastAsia="宋体" w:cs="宋体"/>
          <w:sz w:val="24"/>
          <w:szCs w:val="24"/>
        </w:rPr>
        <w:t>★</w:t>
      </w:r>
      <w:r>
        <w:rPr>
          <w:rFonts w:hint="eastAsia" w:ascii="宋体" w:hAnsi="宋体" w:eastAsia="宋体" w:cs="宋体"/>
          <w:b/>
          <w:bCs/>
          <w:color w:val="auto"/>
          <w:kern w:val="0"/>
          <w:sz w:val="24"/>
        </w:rPr>
        <w:t>二、服务内容及要求</w:t>
      </w:r>
      <w:bookmarkStart w:id="5" w:name="_Hlk100221525"/>
    </w:p>
    <w:bookmarkEnd w:id="5"/>
    <w:p w14:paraId="580CCBC3">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一</w:t>
      </w:r>
      <w:r>
        <w:rPr>
          <w:rFonts w:hint="eastAsia" w:ascii="宋体" w:hAnsi="宋体" w:eastAsia="宋体" w:cs="宋体"/>
          <w:sz w:val="24"/>
          <w:lang w:eastAsia="zh-CN"/>
        </w:rPr>
        <w:t>）</w:t>
      </w:r>
      <w:r>
        <w:rPr>
          <w:rFonts w:hint="eastAsia" w:ascii="宋体" w:hAnsi="宋体" w:eastAsia="宋体" w:cs="宋体"/>
          <w:sz w:val="24"/>
          <w:lang w:val="en-US" w:eastAsia="zh-CN"/>
        </w:rPr>
        <w:t>服务内容：</w:t>
      </w:r>
    </w:p>
    <w:p w14:paraId="3F02C041">
      <w:pPr>
        <w:spacing w:line="360" w:lineRule="auto"/>
        <w:ind w:firstLine="480" w:firstLineChars="200"/>
        <w:rPr>
          <w:rFonts w:hint="eastAsia" w:ascii="宋体" w:hAnsi="宋体" w:eastAsia="宋体" w:cs="宋体"/>
          <w:sz w:val="24"/>
        </w:rPr>
      </w:pPr>
      <w:r>
        <w:rPr>
          <w:rFonts w:hint="eastAsia" w:ascii="宋体" w:hAnsi="宋体" w:eastAsia="宋体" w:cs="宋体"/>
          <w:sz w:val="24"/>
        </w:rPr>
        <w:t>为确保住宅、公共管理与公共服务用地地块的安全利用，用途拟变更为“一住两公”的地块(包括工矿企业用地、耕地、园地、林地、草地、留白地等),按照《建设用地土壤污染状况调查技术导则》(HJ25.1—2019)相关要求，须开展第一阶段土壤污染状况调查，形成调查报告。并及时将调查报告报生态环境主管部门，由生态环境主管部门组织评审专家对调查报告进行评审，并将评审结果录入全国污染地块土壤环境管理系统，向社会公布评审情况。</w:t>
      </w:r>
    </w:p>
    <w:p w14:paraId="4A8046A0">
      <w:pPr>
        <w:spacing w:line="360" w:lineRule="auto"/>
        <w:ind w:firstLine="480" w:firstLineChars="200"/>
        <w:rPr>
          <w:rFonts w:hint="default" w:ascii="宋体" w:hAnsi="宋体" w:eastAsia="宋体" w:cs="宋体"/>
          <w:sz w:val="24"/>
          <w:lang w:val="en-US" w:eastAsia="zh-CN"/>
        </w:rPr>
      </w:pPr>
      <w:r>
        <w:rPr>
          <w:rFonts w:hint="eastAsia" w:ascii="宋体" w:hAnsi="宋体" w:eastAsia="宋体" w:cs="宋体"/>
          <w:sz w:val="24"/>
          <w:lang w:eastAsia="zh-CN"/>
        </w:rPr>
        <w:t>（</w:t>
      </w:r>
      <w:r>
        <w:rPr>
          <w:rFonts w:hint="eastAsia" w:ascii="宋体" w:hAnsi="宋体" w:eastAsia="宋体" w:cs="宋体"/>
          <w:sz w:val="24"/>
          <w:lang w:val="en-US" w:eastAsia="zh-CN"/>
        </w:rPr>
        <w:t>二</w:t>
      </w:r>
      <w:r>
        <w:rPr>
          <w:rFonts w:hint="eastAsia" w:ascii="宋体" w:hAnsi="宋体" w:eastAsia="宋体" w:cs="宋体"/>
          <w:sz w:val="24"/>
          <w:lang w:eastAsia="zh-CN"/>
        </w:rPr>
        <w:t>）</w:t>
      </w:r>
      <w:r>
        <w:rPr>
          <w:rFonts w:hint="eastAsia" w:ascii="宋体" w:hAnsi="宋体" w:eastAsia="宋体" w:cs="宋体"/>
          <w:sz w:val="24"/>
          <w:lang w:val="en-US" w:eastAsia="zh-CN"/>
        </w:rPr>
        <w:t>服务范围：</w:t>
      </w:r>
    </w:p>
    <w:p w14:paraId="7D26381E">
      <w:pPr>
        <w:spacing w:line="360" w:lineRule="auto"/>
        <w:ind w:firstLine="480" w:firstLineChars="200"/>
        <w:rPr>
          <w:rFonts w:hint="eastAsia" w:ascii="宋体" w:hAnsi="宋体" w:eastAsia="宋体" w:cs="宋体"/>
          <w:sz w:val="24"/>
        </w:rPr>
      </w:pPr>
      <w:r>
        <w:rPr>
          <w:rFonts w:hint="eastAsia" w:ascii="宋体" w:hAnsi="宋体" w:eastAsia="宋体" w:cs="宋体"/>
          <w:sz w:val="24"/>
        </w:rPr>
        <w:t>根据《隆昌市人民政府关于印发&lt;隆昌市2025年国有建设用地供应计划&gt;的通知》(隆府发〔2025〕1号),2025年拟供应的住宅用地8宗，土地面积593.7699亩；公共管理与公共服务用地4宗，土地面积66.93亩。</w:t>
      </w:r>
    </w:p>
    <w:p w14:paraId="17900D9F">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（三）报价：</w:t>
      </w:r>
    </w:p>
    <w:p w14:paraId="67E99B1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本项目采用费率报价（最终结算价=单项最高限价*供应商最终报价的费率。例：供应商最终报价的费率为80%，则30亩以下（含30亩）的最终结算价即为20000*80%）。资金预算根据实际调查地块面积为准，以下为地块面积价格清单：</w:t>
      </w:r>
    </w:p>
    <w:tbl>
      <w:tblPr>
        <w:tblStyle w:val="7"/>
        <w:tblW w:w="0" w:type="auto"/>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830"/>
        <w:gridCol w:w="3830"/>
      </w:tblGrid>
      <w:tr w14:paraId="5BD29E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68" w:hRule="atLeast"/>
          <w:jc w:val="center"/>
        </w:trPr>
        <w:tc>
          <w:tcPr>
            <w:tcW w:w="3830" w:type="dxa"/>
            <w:noWrap w:val="0"/>
            <w:vAlign w:val="top"/>
          </w:tcPr>
          <w:p w14:paraId="3E7A8A44">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地块面积</w:t>
            </w:r>
          </w:p>
        </w:tc>
        <w:tc>
          <w:tcPr>
            <w:tcW w:w="3830" w:type="dxa"/>
            <w:noWrap w:val="0"/>
            <w:vAlign w:val="top"/>
          </w:tcPr>
          <w:p w14:paraId="40BF7902">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单项最高限价</w:t>
            </w:r>
          </w:p>
        </w:tc>
      </w:tr>
      <w:tr w14:paraId="5634A00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68" w:hRule="atLeast"/>
          <w:jc w:val="center"/>
        </w:trPr>
        <w:tc>
          <w:tcPr>
            <w:tcW w:w="3830" w:type="dxa"/>
            <w:noWrap w:val="0"/>
            <w:vAlign w:val="top"/>
          </w:tcPr>
          <w:p w14:paraId="522B48D6">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30亩以下（含30亩）</w:t>
            </w:r>
          </w:p>
        </w:tc>
        <w:tc>
          <w:tcPr>
            <w:tcW w:w="3830" w:type="dxa"/>
            <w:noWrap w:val="0"/>
            <w:vAlign w:val="top"/>
          </w:tcPr>
          <w:p w14:paraId="3BA1893B">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20000元/宗</w:t>
            </w:r>
          </w:p>
        </w:tc>
      </w:tr>
      <w:tr w14:paraId="2024F5C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68" w:hRule="atLeast"/>
          <w:jc w:val="center"/>
        </w:trPr>
        <w:tc>
          <w:tcPr>
            <w:tcW w:w="3830" w:type="dxa"/>
            <w:noWrap w:val="0"/>
            <w:vAlign w:val="top"/>
          </w:tcPr>
          <w:p w14:paraId="521E99CC">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30亩-50亩</w:t>
            </w:r>
          </w:p>
        </w:tc>
        <w:tc>
          <w:tcPr>
            <w:tcW w:w="3830" w:type="dxa"/>
            <w:noWrap w:val="0"/>
            <w:vAlign w:val="top"/>
          </w:tcPr>
          <w:p w14:paraId="37222748">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23000元/宗</w:t>
            </w:r>
          </w:p>
        </w:tc>
      </w:tr>
      <w:tr w14:paraId="60BC01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68" w:hRule="atLeast"/>
          <w:jc w:val="center"/>
        </w:trPr>
        <w:tc>
          <w:tcPr>
            <w:tcW w:w="3830" w:type="dxa"/>
            <w:noWrap w:val="0"/>
            <w:vAlign w:val="top"/>
          </w:tcPr>
          <w:p w14:paraId="613BCE9B">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50亩~100亩</w:t>
            </w:r>
          </w:p>
        </w:tc>
        <w:tc>
          <w:tcPr>
            <w:tcW w:w="3830" w:type="dxa"/>
            <w:noWrap w:val="0"/>
            <w:vAlign w:val="top"/>
          </w:tcPr>
          <w:p w14:paraId="7DD44DAB">
            <w:pPr>
              <w:spacing w:line="360" w:lineRule="auto"/>
              <w:ind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28000元/宗</w:t>
            </w:r>
          </w:p>
        </w:tc>
      </w:tr>
      <w:tr w14:paraId="703735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468" w:hRule="atLeast"/>
          <w:jc w:val="center"/>
        </w:trPr>
        <w:tc>
          <w:tcPr>
            <w:tcW w:w="3830" w:type="dxa"/>
            <w:noWrap w:val="0"/>
            <w:vAlign w:val="top"/>
          </w:tcPr>
          <w:p w14:paraId="6C9D40A1">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100亩以上</w:t>
            </w:r>
          </w:p>
        </w:tc>
        <w:tc>
          <w:tcPr>
            <w:tcW w:w="3830" w:type="dxa"/>
            <w:noWrap w:val="0"/>
            <w:vAlign w:val="top"/>
          </w:tcPr>
          <w:p w14:paraId="7456B5AC">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30000元/宗</w:t>
            </w:r>
          </w:p>
        </w:tc>
      </w:tr>
      <w:tr w14:paraId="4AC5226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36" w:hRule="atLeast"/>
          <w:jc w:val="center"/>
        </w:trPr>
        <w:tc>
          <w:tcPr>
            <w:tcW w:w="7660" w:type="dxa"/>
            <w:gridSpan w:val="2"/>
            <w:noWrap w:val="0"/>
            <w:vAlign w:val="top"/>
          </w:tcPr>
          <w:p w14:paraId="5CE57AB9">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每年土壤污染状况调查工作服务费用最终结算按照实际工程量据实结算，但最高不超过20万元。</w:t>
            </w:r>
          </w:p>
        </w:tc>
      </w:tr>
    </w:tbl>
    <w:p w14:paraId="612E4351">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（四）其他要求：合同签订后，成交人根据采购人需求进场开展工作，以采购人纸质通知发出日起30日历天内完成通知规定的土壤污染状况调查工作（提供承诺函）。</w:t>
      </w:r>
    </w:p>
    <w:p w14:paraId="66A720D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color w:val="auto"/>
          <w:kern w:val="2"/>
          <w:sz w:val="24"/>
          <w:szCs w:val="24"/>
          <w:lang w:val="en-US" w:eastAsia="zh-CN" w:bidi="ar-SA"/>
        </w:rPr>
      </w:pPr>
      <w:r>
        <w:rPr>
          <w:rFonts w:hint="eastAsia" w:ascii="宋体" w:hAnsi="宋体" w:eastAsia="宋体" w:cs="宋体"/>
          <w:b/>
          <w:color w:val="auto"/>
          <w:kern w:val="2"/>
          <w:sz w:val="24"/>
          <w:szCs w:val="24"/>
          <w:lang w:val="en-US" w:eastAsia="zh-CN" w:bidi="ar-SA"/>
        </w:rPr>
        <w:t>★四、商务要求</w:t>
      </w:r>
    </w:p>
    <w:p w14:paraId="3D8DCDD9">
      <w:pPr>
        <w:spacing w:line="360" w:lineRule="auto"/>
        <w:ind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1、服务期限：合同签订之日起365个工作日内完成，具体项目完成时间节点根据上级主管部门要求执行。</w:t>
      </w:r>
    </w:p>
    <w:p w14:paraId="752814A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2、服务地点：采购人指定地点。</w:t>
      </w:r>
    </w:p>
    <w:p w14:paraId="188EC01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imes New Roman" w:hAnsi="Times New Roman" w:eastAsia="宋体" w:cs="Times New Roman"/>
          <w:sz w:val="24"/>
          <w:szCs w:val="24"/>
        </w:rPr>
      </w:pPr>
      <w:r>
        <w:rPr>
          <w:rFonts w:hint="eastAsia" w:ascii="宋体" w:hAnsi="宋体" w:eastAsia="宋体" w:cs="宋体"/>
          <w:sz w:val="24"/>
          <w:szCs w:val="24"/>
          <w:lang w:val="en-US" w:eastAsia="zh-CN"/>
        </w:rPr>
        <w:t>3、验收、交付标准和方</w:t>
      </w:r>
      <w:r>
        <w:rPr>
          <w:rFonts w:ascii="Times New Roman" w:hAnsi="Times New Roman" w:eastAsia="宋体" w:cs="Times New Roman"/>
          <w:sz w:val="24"/>
          <w:szCs w:val="24"/>
        </w:rPr>
        <w:t>法</w:t>
      </w:r>
      <w:r>
        <w:rPr>
          <w:rFonts w:hint="eastAsia" w:ascii="Times New Roman" w:hAnsi="Times New Roman" w:eastAsia="宋体" w:cs="Times New Roman"/>
          <w:sz w:val="24"/>
          <w:szCs w:val="24"/>
          <w:lang w:eastAsia="zh-CN"/>
        </w:rPr>
        <w:t>：</w:t>
      </w:r>
      <w:r>
        <w:rPr>
          <w:rFonts w:ascii="Times New Roman" w:hAnsi="Times New Roman" w:eastAsia="宋体" w:cs="Times New Roman"/>
          <w:sz w:val="24"/>
          <w:szCs w:val="24"/>
        </w:rPr>
        <w:t>按照政府采购相关法律法规以及《财政部关于进一步加强政府采 购需求和履约验收管理的指导意见》财库〔2016〕205号的规定， 严格按照《政府采购需求管理办法》采购文件规定的要求和成交供应商响应文件及合同约定的内容进行验收。</w:t>
      </w:r>
    </w:p>
    <w:p w14:paraId="3B27327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4、付款方式：分期付款。</w:t>
      </w:r>
    </w:p>
    <w:p w14:paraId="1D53F5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5、付款进度安排：（1）在采购人下发服务期限内上半年《工作任务通知单》后，供应商完成单个地块并完成备案且供应商开具真实合法有效等额的增值税发票后，达到付款条件起15日内，据实情况说明为支付服务期限内第一季度完成项目的相应金额（注：因供应商未开具或者开具的发票不符合合同约定的，采购人有权暂缓支付直至供应商开具符合要求的发票，造成损失的均由供应商承担，供应商应当继续履行合同义务。）</w:t>
      </w:r>
    </w:p>
    <w:p w14:paraId="2832E58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24"/>
          <w:lang w:val="en-US" w:eastAsia="zh-CN"/>
        </w:rPr>
      </w:pPr>
      <w:r>
        <w:rPr>
          <w:rFonts w:hint="eastAsia" w:ascii="Times New Roman" w:hAnsi="Times New Roman" w:eastAsia="宋体" w:cs="Times New Roman"/>
          <w:sz w:val="24"/>
          <w:szCs w:val="24"/>
          <w:lang w:val="en-US" w:eastAsia="zh-CN"/>
        </w:rPr>
        <w:t>（2）在采购人下发服务期限内下半年《工作任务通知单》后，供应商完成单个地块并完成备案且供应商开具真实合法有效等额的增值税发票后，达到付款条件起15日内，据实情况说明为支付服务期限内第二季度完成项目的相应金额（注：因供应商未开具或者开具的发票不符合合同约定的，采购人有权暂缓支付直至供应商开具符合要求的发票，造成损失的均由供应商承担，供应商应当继续履行合同义务。）</w:t>
      </w:r>
    </w:p>
    <w:p w14:paraId="414B96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24"/>
          <w:lang w:val="en-US" w:eastAsia="zh-CN"/>
        </w:rPr>
      </w:pPr>
    </w:p>
    <w:p w14:paraId="15A7C8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sz w:val="24"/>
          <w:szCs w:val="24"/>
        </w:rPr>
      </w:pPr>
      <w:r>
        <w:rPr>
          <w:rFonts w:hint="eastAsia" w:ascii="Times New Roman" w:hAnsi="Times New Roman" w:eastAsia="宋体" w:cs="Times New Roman"/>
          <w:sz w:val="24"/>
          <w:szCs w:val="24"/>
          <w:lang w:val="en-US" w:eastAsia="zh-CN"/>
        </w:rPr>
        <w:t>6、</w:t>
      </w:r>
      <w:r>
        <w:rPr>
          <w:rFonts w:ascii="宋体" w:hAnsi="宋体" w:eastAsia="宋体" w:cs="宋体"/>
          <w:sz w:val="24"/>
          <w:szCs w:val="24"/>
        </w:rPr>
        <w:t>违约责任与解决争议的方法</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ascii="宋体" w:hAnsi="宋体" w:eastAsia="宋体" w:cs="宋体"/>
          <w:sz w:val="24"/>
          <w:szCs w:val="24"/>
        </w:rPr>
        <w:t>违约责任：若当事人一方不履行合同义务或者履行合同义务不符合约定条件，导致损害对方权益的，受损害方有权选择请求其承担违约责任或者侵权责任,受损害方维权所产生的费用（包括但不限于诉讼费、保全费、律师费用等）由违约方承担。</w:t>
      </w:r>
    </w:p>
    <w:p w14:paraId="35E94A7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sz w:val="24"/>
          <w:szCs w:val="24"/>
          <w:lang w:val="en-US"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ascii="宋体" w:hAnsi="宋体" w:eastAsia="宋体" w:cs="宋体"/>
          <w:sz w:val="24"/>
          <w:szCs w:val="24"/>
        </w:rPr>
        <w:t>争议解决方法：</w:t>
      </w:r>
      <w:r>
        <w:rPr>
          <w:rFonts w:hint="eastAsia" w:ascii="宋体" w:hAnsi="宋体" w:eastAsia="宋体" w:cs="宋体"/>
          <w:sz w:val="24"/>
          <w:szCs w:val="24"/>
          <w:lang w:val="en-US" w:eastAsia="zh-CN"/>
        </w:rPr>
        <w:t>①</w:t>
      </w:r>
      <w:r>
        <w:rPr>
          <w:rFonts w:ascii="宋体" w:hAnsi="宋体" w:eastAsia="宋体" w:cs="宋体"/>
          <w:sz w:val="24"/>
          <w:szCs w:val="24"/>
        </w:rPr>
        <w:t>在执行本合同中发生的或与本合同有关的争端，双方应通过友好协商解决，经协商不能达成协议时，应在采购人所在地有管辖权的法院诉讼解决。</w:t>
      </w:r>
      <w:r>
        <w:rPr>
          <w:rFonts w:hint="eastAsia" w:ascii="宋体" w:hAnsi="宋体" w:eastAsia="宋体" w:cs="宋体"/>
          <w:sz w:val="24"/>
          <w:szCs w:val="24"/>
          <w:lang w:val="en-US" w:eastAsia="zh-CN"/>
        </w:rPr>
        <w:t>②</w:t>
      </w:r>
      <w:r>
        <w:rPr>
          <w:rFonts w:ascii="宋体" w:hAnsi="宋体" w:eastAsia="宋体" w:cs="宋体"/>
          <w:sz w:val="24"/>
          <w:szCs w:val="24"/>
        </w:rPr>
        <w:t>在诉讼期间，除正在进行诉讼部分外，合同其他部分继续执行。</w:t>
      </w:r>
    </w:p>
    <w:p w14:paraId="2A86026E">
      <w:pPr>
        <w:keepNext w:val="0"/>
        <w:keepLines w:val="0"/>
        <w:pageBreakBefore w:val="0"/>
        <w:kinsoku/>
        <w:wordWrap/>
        <w:overflowPunct/>
        <w:topLinePunct w:val="0"/>
        <w:autoSpaceDE/>
        <w:autoSpaceDN/>
        <w:bidi w:val="0"/>
        <w:spacing w:line="336" w:lineRule="auto"/>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注：以上带</w:t>
      </w:r>
      <w:r>
        <w:rPr>
          <w:rFonts w:ascii="宋体" w:hAnsi="宋体" w:eastAsia="宋体" w:cs="宋体"/>
          <w:sz w:val="24"/>
          <w:szCs w:val="24"/>
        </w:rPr>
        <w:t>★</w:t>
      </w:r>
      <w:r>
        <w:rPr>
          <w:rFonts w:hint="eastAsia" w:ascii="宋体" w:hAnsi="宋体" w:eastAsia="宋体" w:cs="宋体"/>
          <w:b/>
          <w:bCs/>
          <w:sz w:val="24"/>
          <w:szCs w:val="24"/>
          <w:highlight w:val="none"/>
          <w:lang w:val="en-US" w:eastAsia="zh-CN"/>
        </w:rPr>
        <w:t>条款为实质性要求，不允许负偏离，如有负偏离作无效响应处理。</w:t>
      </w:r>
    </w:p>
    <w:p w14:paraId="4A4183EF">
      <w:r>
        <w:rPr>
          <w:rFonts w:hint="eastAsia" w:ascii="宋体" w:hAnsi="宋体" w:eastAsia="宋体" w:cs="宋体"/>
          <w:color w:val="auto"/>
          <w:sz w:val="24"/>
        </w:rPr>
        <w:br w:type="page"/>
      </w:r>
      <w:bookmarkEnd w:id="0"/>
      <w:bookmarkEnd w:id="1"/>
      <w:bookmarkEnd w:id="2"/>
      <w:bookmarkEnd w:id="3"/>
      <w:bookmarkEnd w:id="4"/>
      <w:bookmarkStart w:id="6" w:name="_GoBack"/>
      <w:bookmarkEnd w:id="6"/>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73E643E"/>
    <w:rsid w:val="335161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rFonts w:asciiTheme="minorAscii" w:hAnsiTheme="minorAscii"/>
      <w:b/>
      <w:kern w:val="44"/>
      <w:sz w:val="36"/>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Body Text"/>
    <w:basedOn w:val="1"/>
    <w:next w:val="5"/>
    <w:qFormat/>
    <w:uiPriority w:val="0"/>
    <w:pPr>
      <w:spacing w:after="120" w:afterLines="0"/>
    </w:pPr>
    <w:rPr>
      <w:rFonts w:ascii="Times New Roman"/>
      <w:sz w:val="24"/>
      <w:szCs w:val="24"/>
    </w:rPr>
  </w:style>
  <w:style w:type="paragraph" w:styleId="5">
    <w:name w:val="Plain Text"/>
    <w:basedOn w:val="1"/>
    <w:next w:val="3"/>
    <w:qFormat/>
    <w:uiPriority w:val="0"/>
    <w:pPr>
      <w:autoSpaceDE w:val="0"/>
      <w:autoSpaceDN w:val="0"/>
      <w:adjustRightInd w:val="0"/>
    </w:pPr>
    <w:rPr>
      <w:rFonts w:hint="eastAsia" w:ascii="宋体" w:hAnsi="宋体"/>
      <w:kern w:val="0"/>
      <w:sz w:val="24"/>
    </w:rPr>
  </w:style>
  <w:style w:type="paragraph" w:styleId="6">
    <w:name w:val="Body Text First Indent"/>
    <w:basedOn w:val="4"/>
    <w:next w:val="1"/>
    <w:qFormat/>
    <w:uiPriority w:val="0"/>
    <w:pPr>
      <w:ind w:firstLine="420" w:firstLineChars="100"/>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2025-03-07T07:36:00Z</dcterms:created>
  <dc:creator>Administrator</dc:creator>
  <cp:lastModifiedBy>郑茜元」13551902456</cp:lastModifiedBy>
  <dcterms:modified xsi:type="dcterms:W3CDTF">2025-05-22T01:56:11Z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B0FFED6911D743EC871AAD2051ED6B49_12</vt:lpwstr>
  </property>
  <property fmtid="{D5CDD505-2E9C-101B-9397-08002B2CF9AE}" pid="4" name="KSOTemplateDocerSaveRecord">
    <vt:lpwstr>eyJoZGlkIjoiYTQ4YzM0OWMwODUyOTYwYTQ1YjY5NWY1MmVkNGUxMzYiLCJ1c2VySWQiOiIzNzk0MDQ2MzAifQ==</vt:lpwstr>
  </property>
</Properties>
</file>