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8A8F5">
      <w:pPr>
        <w:pStyle w:val="6"/>
        <w:spacing w:line="360" w:lineRule="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zh-TW" w:eastAsia="zh-CN"/>
        </w:rPr>
        <w:t>一、项目</w:t>
      </w:r>
      <w:r>
        <w:rPr>
          <w:rFonts w:hint="eastAsia" w:ascii="仿宋" w:hAnsi="仿宋" w:eastAsia="仿宋" w:cs="仿宋"/>
          <w:b/>
          <w:bCs w:val="0"/>
          <w:color w:val="auto"/>
          <w:sz w:val="24"/>
          <w:highlight w:val="none"/>
          <w:lang w:val="en-US" w:eastAsia="zh-CN"/>
        </w:rPr>
        <w:t>概况</w:t>
      </w:r>
    </w:p>
    <w:p w14:paraId="5446F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根据四川省自然资源厅办公室印发的《关于加快完成园林草地新增、变化图斑级别和基准地价信息补充工作的通知》(〔2024〕-629),隆昌市自然资源和规划局通过本次竞争性谈判选取一家有资质的供应商完成隆昌市园林草地新增、变化图斑级别和基准地价信息补充工作。</w:t>
      </w:r>
    </w:p>
    <w:p w14:paraId="0729A9C9">
      <w:pPr>
        <w:bidi w:val="0"/>
        <w:spacing w:line="360" w:lineRule="auto"/>
        <w:rPr>
          <w:rFonts w:hint="eastAsia" w:ascii="仿宋" w:hAnsi="仿宋" w:eastAsia="仿宋" w:cs="仿宋"/>
          <w:b/>
          <w:bCs w:val="0"/>
          <w:i w:val="0"/>
          <w:iCs w:val="0"/>
          <w:color w:val="auto"/>
          <w:kern w:val="0"/>
          <w:sz w:val="24"/>
          <w:szCs w:val="24"/>
          <w:highlight w:val="none"/>
          <w:lang w:val="en-US" w:eastAsia="zh-CN" w:bidi="ar-SA"/>
        </w:rPr>
      </w:pPr>
      <w:r>
        <w:rPr>
          <w:rFonts w:hint="eastAsia" w:ascii="仿宋" w:hAnsi="仿宋" w:eastAsia="仿宋" w:cs="仿宋"/>
          <w:b/>
          <w:bCs w:val="0"/>
          <w:i w:val="0"/>
          <w:iCs w:val="0"/>
          <w:color w:val="auto"/>
          <w:kern w:val="0"/>
          <w:sz w:val="24"/>
          <w:szCs w:val="24"/>
          <w:highlight w:val="none"/>
          <w:lang w:val="en-US" w:eastAsia="zh-CN" w:bidi="ar-SA"/>
        </w:rPr>
        <w:t>二、服务内容及要求</w:t>
      </w:r>
    </w:p>
    <w:p w14:paraId="6A1AB9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仿宋" w:hAnsi="仿宋" w:eastAsia="仿宋" w:cs="仿宋"/>
          <w:i w:val="0"/>
          <w:iCs w:val="0"/>
          <w:color w:val="auto"/>
          <w:sz w:val="24"/>
          <w:highlight w:val="none"/>
          <w:lang w:val="en-US" w:eastAsia="zh-CN"/>
        </w:rPr>
      </w:pPr>
      <w:r>
        <w:rPr>
          <w:rFonts w:hint="eastAsia" w:ascii="宋体" w:hAnsi="宋体" w:eastAsia="宋体" w:cs="宋体"/>
          <w:b/>
          <w:bCs w:val="0"/>
          <w:i w:val="0"/>
          <w:iCs w:val="0"/>
          <w:color w:val="auto"/>
          <w:kern w:val="0"/>
          <w:sz w:val="24"/>
          <w:szCs w:val="24"/>
          <w:highlight w:val="none"/>
          <w:lang w:val="en-US" w:eastAsia="zh-CN" w:bidi="ar-SA"/>
        </w:rPr>
        <w:t>★</w:t>
      </w:r>
      <w:r>
        <w:rPr>
          <w:rFonts w:hint="eastAsia" w:ascii="仿宋" w:hAnsi="仿宋" w:eastAsia="仿宋" w:cs="仿宋"/>
          <w:i w:val="0"/>
          <w:iCs w:val="0"/>
          <w:color w:val="auto"/>
          <w:sz w:val="24"/>
          <w:highlight w:val="none"/>
          <w:lang w:val="en-US" w:eastAsia="zh-CN"/>
        </w:rPr>
        <w:t>（一）服务内容：</w:t>
      </w:r>
    </w:p>
    <w:p w14:paraId="1C5646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对2023年度新增和变化的园地、林地、草地图斑，按照《自然资源分等定级通则》(TD/T1060-2021)、《自然资源价格评估通则》(TD/T1061-2021)以及园地、林地、草地相关技术标准规范，遵循“在确定级别基础上确定基准地价”的技术路线，补充、调整图斑级别和基准地价信息。</w:t>
      </w:r>
    </w:p>
    <w:p w14:paraId="19A68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隆昌市涉及园林草地更新图斑数量66466个，土地面积17465公顷。其中园地更新图斑数量10894个，土地面积3633.77公顷；林地更新图斑数量53752个，土地面积13605.02公顷；草地更新图斑数量1820个；土地面积226.20公顷。</w:t>
      </w:r>
    </w:p>
    <w:p w14:paraId="4681CB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i w:val="0"/>
          <w:iCs w:val="0"/>
          <w:color w:val="auto"/>
          <w:sz w:val="24"/>
          <w:highlight w:val="none"/>
          <w:lang w:val="en-US" w:eastAsia="zh-CN"/>
        </w:rPr>
      </w:pPr>
      <w:r>
        <w:rPr>
          <w:rFonts w:hint="eastAsia" w:ascii="宋体" w:hAnsi="宋体" w:eastAsia="宋体" w:cs="宋体"/>
          <w:b/>
          <w:bCs w:val="0"/>
          <w:i w:val="0"/>
          <w:iCs w:val="0"/>
          <w:color w:val="auto"/>
          <w:kern w:val="0"/>
          <w:sz w:val="24"/>
          <w:szCs w:val="24"/>
          <w:highlight w:val="none"/>
          <w:lang w:val="en-US" w:eastAsia="zh-CN" w:bidi="ar-SA"/>
        </w:rPr>
        <w:t>★</w:t>
      </w:r>
      <w:r>
        <w:rPr>
          <w:rFonts w:hint="eastAsia" w:ascii="仿宋" w:hAnsi="仿宋" w:eastAsia="仿宋" w:cs="仿宋"/>
          <w:i w:val="0"/>
          <w:iCs w:val="0"/>
          <w:color w:val="auto"/>
          <w:sz w:val="24"/>
          <w:highlight w:val="none"/>
          <w:lang w:val="en-US" w:eastAsia="zh-CN"/>
        </w:rPr>
        <w:t>（二）服务要求：</w:t>
      </w:r>
    </w:p>
    <w:p w14:paraId="58D3C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1、前期准备 ：根据《四川省自然资源厅办公室关于加快完成园林草地新增、变化图斑级别和基准地价信息补充工作的通知》1[2024]-629,制定项目工作计划，组织人员培训。</w:t>
      </w:r>
    </w:p>
    <w:p w14:paraId="4DFDBD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2、资料收集整理：收集省厅统一下发的2023年度国土变更调查数据，对新增和变化的园地、林地、草地图斑，按照《自然资源分等定级通则》(TD/T1060-2021)、《自然资源价格评估通则》(TD/T1061-2021)以及园地、林地、草地相关技术标准规范，遵循“在确定级别基础上确定基准地价”的技术路线，补充、调整图斑级别和基准地价信息。</w:t>
      </w:r>
    </w:p>
    <w:p w14:paraId="56B5C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i w:val="0"/>
          <w:iCs w:val="0"/>
          <w:color w:val="auto"/>
          <w:sz w:val="24"/>
          <w:highlight w:val="none"/>
          <w:lang w:val="en-US" w:eastAsia="zh-CN"/>
        </w:rPr>
        <w:t>3、内业技术处理：(1)对园林草级别进行整库更新；(2)新增和变化图斑按照已确定的定级指标体系主要在园地、林地、草地定级收集的资料基础上获取定级指标属性值、采用邻域分析法参照周边相同地类图斑获取，参照既有级别划分标准计算确定图斑分值、级别；(3)基准地价信息挂接图斑级别确定。“基准地价样点单元(JZDJYDDY)”图层补充更新，涉及地类变化或图斑变化的样点，使用上一轮该地类基准地价样点数据，采用上一轮基准地价成果中修正体系的因</w:t>
      </w:r>
      <w:r>
        <w:rPr>
          <w:rFonts w:hint="eastAsia" w:ascii="仿宋" w:hAnsi="仿宋" w:eastAsia="仿宋" w:cs="仿宋"/>
          <w:color w:val="auto"/>
          <w:sz w:val="24"/>
          <w:highlight w:val="none"/>
          <w:lang w:val="en-US" w:eastAsia="zh-CN"/>
        </w:rPr>
        <w:t>素因子，修正成现在的样点数据。</w:t>
      </w:r>
    </w:p>
    <w:p w14:paraId="0590F5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4、质检核查：按原质检软件自检，编写例外说明:上报专班核查验收并按核查意见修改。</w:t>
      </w:r>
    </w:p>
    <w:p w14:paraId="7BBA5E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5、成果提交：按汇交要求提交通过质检核查验收的数据库成果。</w:t>
      </w:r>
    </w:p>
    <w:p w14:paraId="4C4043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color w:val="auto"/>
          <w:sz w:val="24"/>
          <w:highlight w:val="none"/>
          <w:lang w:val="en-US" w:eastAsia="zh-CN"/>
        </w:rPr>
      </w:pPr>
      <w:r>
        <w:rPr>
          <w:rFonts w:hint="eastAsia" w:ascii="宋体" w:hAnsi="宋体" w:eastAsia="宋体" w:cs="宋体"/>
          <w:b/>
          <w:bCs w:val="0"/>
          <w:color w:val="auto"/>
          <w:kern w:val="0"/>
          <w:sz w:val="24"/>
          <w:szCs w:val="24"/>
          <w:highlight w:val="none"/>
          <w:lang w:val="en-US" w:eastAsia="zh-CN" w:bidi="ar-SA"/>
        </w:rPr>
        <w:t>★</w:t>
      </w:r>
      <w:r>
        <w:rPr>
          <w:rFonts w:hint="eastAsia" w:ascii="仿宋" w:hAnsi="仿宋" w:eastAsia="仿宋" w:cs="仿宋"/>
          <w:color w:val="auto"/>
          <w:sz w:val="24"/>
          <w:highlight w:val="none"/>
          <w:lang w:val="en-US" w:eastAsia="zh-CN"/>
        </w:rPr>
        <w:t>（三）人员要求：</w:t>
      </w:r>
    </w:p>
    <w:p w14:paraId="086EB6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1、拟派本项目的项目负责人： ①具有土地估价师证书； ②为土地登记代理人；（需具有任意一项）</w:t>
      </w:r>
    </w:p>
    <w:p w14:paraId="19CA1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2、拟派本项目服务团队成员： ①具有土地估价师证书； ②具有资产评估师； （需具有任意一项）</w:t>
      </w:r>
    </w:p>
    <w:p w14:paraId="5418FC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注：提供以上人员在本单位的劳动关系证明以及相关资质证书复印件，并加盖供应商公章。</w:t>
      </w:r>
    </w:p>
    <w:p w14:paraId="66F93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（四）其他要求：</w:t>
      </w:r>
    </w:p>
    <w:p w14:paraId="7B3833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供应商认为应提交的其他资料，如项目服务方案、类似业绩、项目所需设备清单等。（供应商根据自身情况提供，格式自拟。）</w:t>
      </w:r>
    </w:p>
    <w:p w14:paraId="0AB7195A">
      <w:pPr>
        <w:pStyle w:val="7"/>
        <w:spacing w:line="360" w:lineRule="auto"/>
        <w:jc w:val="both"/>
        <w:rPr>
          <w:rFonts w:hint="eastAsia" w:ascii="仿宋" w:hAnsi="仿宋" w:eastAsia="仿宋" w:cs="仿宋"/>
          <w:b/>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三、商务要求</w:t>
      </w:r>
    </w:p>
    <w:p w14:paraId="581A2CBD">
      <w:pPr>
        <w:pStyle w:val="7"/>
        <w:spacing w:line="360" w:lineRule="auto"/>
        <w:ind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（一）服务期限和验收标准</w:t>
      </w:r>
    </w:p>
    <w:p w14:paraId="540444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bCs/>
          <w:color w:val="auto"/>
          <w:kern w:val="1"/>
          <w:sz w:val="24"/>
          <w:szCs w:val="24"/>
          <w:highlight w:val="none"/>
          <w:lang w:val="en-US" w:eastAsia="zh-CN" w:bidi="ar-SA"/>
        </w:rPr>
      </w:pPr>
      <w:r>
        <w:rPr>
          <w:rFonts w:hint="eastAsia" w:ascii="仿宋" w:hAnsi="仿宋" w:eastAsia="仿宋" w:cs="仿宋"/>
          <w:b w:val="0"/>
          <w:bCs/>
          <w:color w:val="auto"/>
          <w:kern w:val="1"/>
          <w:sz w:val="24"/>
          <w:szCs w:val="24"/>
          <w:highlight w:val="none"/>
          <w:lang w:val="en-US" w:eastAsia="zh-CN" w:bidi="ar-SA"/>
        </w:rPr>
        <w:t>1．服务期限：签定合同后30日内完成。</w:t>
      </w:r>
    </w:p>
    <w:p w14:paraId="73ECE4B6">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b w:val="0"/>
          <w:bCs/>
          <w:color w:val="auto"/>
          <w:kern w:val="1"/>
          <w:sz w:val="24"/>
          <w:szCs w:val="24"/>
          <w:highlight w:val="none"/>
          <w:lang w:val="en-US" w:eastAsia="zh-CN" w:bidi="ar-SA"/>
        </w:rPr>
      </w:pPr>
      <w:r>
        <w:rPr>
          <w:rFonts w:hint="eastAsia" w:ascii="仿宋" w:hAnsi="仿宋" w:eastAsia="仿宋" w:cs="仿宋"/>
          <w:b w:val="0"/>
          <w:bCs/>
          <w:color w:val="auto"/>
          <w:kern w:val="1"/>
          <w:sz w:val="24"/>
          <w:szCs w:val="24"/>
          <w:highlight w:val="none"/>
          <w:lang w:val="en-US" w:eastAsia="zh-CN" w:bidi="ar-SA"/>
        </w:rPr>
        <w:t>2．服务地点：采购人指定地点。</w:t>
      </w:r>
    </w:p>
    <w:p w14:paraId="6078C645">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val="0"/>
          <w:bCs/>
          <w:color w:val="auto"/>
          <w:kern w:val="1"/>
          <w:sz w:val="24"/>
          <w:szCs w:val="24"/>
          <w:highlight w:val="none"/>
          <w:lang w:val="en-US" w:eastAsia="zh-CN" w:bidi="ar-SA"/>
        </w:rPr>
        <w:t>3. 验收标准：成交人与采购人应按照《财政部关于进一步加强政府采购需求和履约验收管理的指导意见》（</w:t>
      </w:r>
      <w:r>
        <w:rPr>
          <w:rFonts w:hint="eastAsia" w:ascii="仿宋" w:hAnsi="仿宋" w:eastAsia="仿宋" w:cs="仿宋"/>
          <w:b w:val="0"/>
          <w:bCs w:val="0"/>
          <w:color w:val="auto"/>
          <w:kern w:val="2"/>
          <w:sz w:val="24"/>
          <w:szCs w:val="24"/>
          <w:highlight w:val="none"/>
          <w:lang w:val="en-US" w:eastAsia="zh-CN" w:bidi="ar-SA"/>
        </w:rPr>
        <w:t>财库〔2016〕205号）和成交通知书、响应文件及其他相关法律法规或行业规定进行验收</w:t>
      </w:r>
      <w:r>
        <w:rPr>
          <w:rFonts w:hint="eastAsia" w:ascii="宋体" w:hAnsi="宋体" w:eastAsia="宋体" w:cs="宋体"/>
          <w:i w:val="0"/>
          <w:iCs w:val="0"/>
          <w:caps w:val="0"/>
          <w:color w:val="0A82E5"/>
          <w:spacing w:val="0"/>
          <w:sz w:val="24"/>
          <w:szCs w:val="24"/>
        </w:rPr>
        <w:t>。</w:t>
      </w:r>
    </w:p>
    <w:p w14:paraId="6DF5095A">
      <w:pPr>
        <w:pStyle w:val="7"/>
        <w:spacing w:line="360" w:lineRule="auto"/>
        <w:ind w:firstLine="482" w:firstLineChars="200"/>
        <w:jc w:val="both"/>
        <w:rPr>
          <w:rFonts w:hint="eastAsia" w:ascii="仿宋" w:hAnsi="仿宋" w:eastAsia="仿宋" w:cs="仿宋"/>
          <w:b/>
          <w:bCs/>
          <w:color w:val="auto"/>
          <w:kern w:val="0"/>
          <w:sz w:val="24"/>
          <w:szCs w:val="24"/>
          <w:highlight w:val="none"/>
          <w:lang w:val="en-US" w:eastAsia="zh-CN" w:bidi="ar-SA"/>
        </w:rPr>
      </w:pPr>
      <w:bookmarkStart w:id="0" w:name="_Toc8120"/>
      <w:r>
        <w:rPr>
          <w:rFonts w:hint="eastAsia" w:ascii="仿宋" w:hAnsi="仿宋" w:eastAsia="仿宋" w:cs="仿宋"/>
          <w:b/>
          <w:bCs/>
          <w:color w:val="auto"/>
          <w:kern w:val="0"/>
          <w:sz w:val="24"/>
          <w:szCs w:val="24"/>
          <w:highlight w:val="none"/>
          <w:lang w:val="en-US" w:eastAsia="zh-CN" w:bidi="ar-SA"/>
        </w:rPr>
        <w:t>（二）付款方式</w:t>
      </w:r>
      <w:bookmarkEnd w:id="0"/>
    </w:p>
    <w:p w14:paraId="21DC40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color w:val="auto"/>
          <w:kern w:val="1"/>
          <w:sz w:val="24"/>
          <w:szCs w:val="24"/>
          <w:highlight w:val="none"/>
          <w:lang w:val="en-US" w:eastAsia="zh-CN" w:bidi="ar-SA"/>
        </w:rPr>
      </w:pPr>
      <w:r>
        <w:rPr>
          <w:rFonts w:hint="eastAsia" w:ascii="仿宋" w:hAnsi="仿宋" w:eastAsia="仿宋" w:cs="仿宋"/>
          <w:b w:val="0"/>
          <w:bCs/>
          <w:color w:val="auto"/>
          <w:kern w:val="1"/>
          <w:sz w:val="24"/>
          <w:szCs w:val="24"/>
          <w:highlight w:val="none"/>
          <w:lang w:val="en-US" w:eastAsia="zh-CN" w:bidi="ar-SA"/>
        </w:rPr>
        <w:t>1、支付方式：一次付清。</w:t>
      </w:r>
    </w:p>
    <w:p w14:paraId="282432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color w:val="auto"/>
          <w:kern w:val="1"/>
          <w:sz w:val="24"/>
          <w:szCs w:val="24"/>
          <w:highlight w:val="none"/>
          <w:lang w:val="en-US" w:eastAsia="zh-CN" w:bidi="ar-SA"/>
        </w:rPr>
        <w:t>2、合同支付约</w:t>
      </w:r>
      <w:r>
        <w:rPr>
          <w:rFonts w:hint="eastAsia" w:ascii="仿宋" w:hAnsi="仿宋" w:eastAsia="仿宋" w:cs="仿宋"/>
          <w:b w:val="0"/>
          <w:bCs w:val="0"/>
          <w:color w:val="auto"/>
          <w:kern w:val="2"/>
          <w:sz w:val="24"/>
          <w:szCs w:val="24"/>
          <w:highlight w:val="none"/>
          <w:lang w:val="en-US" w:eastAsia="zh-CN" w:bidi="ar-SA"/>
        </w:rPr>
        <w:t>定：完成隆昌市园林草地新增、变化图斑级别和基准地价信息补充工作成果报省厅通过验收后 ，达到付款条件起 10 日，支付合同总金额的 100.00 %。</w:t>
      </w:r>
    </w:p>
    <w:p w14:paraId="59B45CDB">
      <w:pPr>
        <w:pStyle w:val="3"/>
        <w:rPr>
          <w:rFonts w:hint="eastAsia" w:ascii="仿宋" w:hAnsi="仿宋" w:eastAsia="仿宋" w:cs="仿宋"/>
          <w:b w:val="0"/>
          <w:bCs w:val="0"/>
          <w:color w:val="auto"/>
          <w:kern w:val="2"/>
          <w:sz w:val="24"/>
          <w:szCs w:val="24"/>
          <w:highlight w:val="none"/>
          <w:lang w:val="en-US" w:eastAsia="zh-CN" w:bidi="ar-SA"/>
        </w:rPr>
      </w:pPr>
    </w:p>
    <w:p w14:paraId="3E044612">
      <w:r>
        <w:rPr>
          <w:rFonts w:hint="eastAsia" w:ascii="仿宋" w:hAnsi="仿宋" w:eastAsia="仿宋" w:cs="仿宋"/>
          <w:b/>
          <w:bCs/>
          <w:sz w:val="24"/>
          <w:szCs w:val="24"/>
          <w:lang w:val="en-US" w:eastAsia="zh-CN"/>
        </w:rPr>
        <w:t>注：以上带</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条款为实质性要求，不允许负偏离，如有负偏离作无效响应处理。</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E643E"/>
    <w:rsid w:val="3CCF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uppressAutoHyphens/>
      <w:spacing w:after="120"/>
    </w:pPr>
    <w:rPr>
      <w:kern w:val="1"/>
      <w:lang w:eastAsia="ar-SA"/>
    </w:rPr>
  </w:style>
  <w:style w:type="paragraph" w:customStyle="1" w:styleId="6">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2025-03-07T07:36:00Z</dcterms:created>
  <dc:creator>Administrator</dc:creator>
  <cp:lastModifiedBy>郑茜元」13551902456</cp:lastModifiedBy>
  <dcterms:modified xsi:type="dcterms:W3CDTF">2025-05-22T07:16:46Z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B0FFED6911D743EC871AAD2051ED6B49_12</vt:lpwstr>
  </property>
  <property fmtid="{D5CDD505-2E9C-101B-9397-08002B2CF9AE}" pid="4" name="KSOTemplateDocerSaveRecord">
    <vt:lpwstr>eyJoZGlkIjoiYTQ4YzM0OWMwODUyOTYwYTQ1YjY5NWY1MmVkNGUxMzYiLCJ1c2VySWQiOiIzNzk0MDQ2MzAifQ==</vt:lpwstr>
  </property>
</Properties>
</file>