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东发办公室装修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XRZB-2025-107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东发办公室装修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XRZB-2025-107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5D9C5D16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2025-05-07T03:33:54Z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