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b/>
          <w:kern w:val="44"/>
          <w:sz w:val="44"/>
        </w:rPr>
        <w:id w:val="482073491"/>
        <w15:color w:val="DBDBDB"/>
      </w:sdtPr>
      <w:sdtEndPr>
        <w:rPr>
          <w:rFonts w:hint="eastAsia" w:ascii="宋体" w:hAnsi="宋体" w:cs="Times New Roman"/>
          <w:b/>
          <w:color w:val="auto"/>
          <w:kern w:val="44"/>
          <w:sz w:val="44"/>
          <w:lang w:val="en-US" w:eastAsia="zh-Hans"/>
        </w:rPr>
      </w:sdtEndPr>
      <w:sdtContent>
        <w:p w14:paraId="79CAA52B">
          <w:pPr>
            <w:spacing w:after="0" w:line="240" w:lineRule="auto"/>
            <w:jc w:val="center"/>
            <w:rPr>
              <w:rFonts w:ascii="宋体" w:hAnsi="宋体"/>
              <w:b/>
              <w:kern w:val="44"/>
              <w:sz w:val="44"/>
            </w:rPr>
          </w:pPr>
        </w:p>
        <w:p w14:paraId="56B232A2">
          <w:pPr>
            <w:spacing w:after="0" w:line="240" w:lineRule="auto"/>
            <w:jc w:val="center"/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CN"/>
            </w:rPr>
          </w:pPr>
          <w:r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CN"/>
            </w:rPr>
            <w:t>都江堰市人民医院</w:t>
          </w:r>
        </w:p>
        <w:p w14:paraId="58040BE2">
          <w:pPr>
            <w:spacing w:after="0" w:line="240" w:lineRule="auto"/>
            <w:jc w:val="center"/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Hans"/>
            </w:rPr>
          </w:pPr>
          <w:r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CN"/>
            </w:rPr>
            <w:t>信息化核心机房应用双活建设</w:t>
          </w:r>
          <w:r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Hans"/>
            </w:rPr>
            <w:t>要求</w:t>
          </w:r>
          <w:bookmarkStart w:id="0" w:name="_Toc1450314070"/>
        </w:p>
        <w:p w14:paraId="5695774D">
          <w:pPr>
            <w:spacing w:after="0" w:line="240" w:lineRule="auto"/>
            <w:jc w:val="center"/>
            <w:rPr>
              <w:rFonts w:hint="eastAsia" w:ascii="宋体" w:hAnsi="宋体" w:cs="Times New Roman"/>
              <w:b/>
              <w:color w:val="auto"/>
              <w:kern w:val="44"/>
              <w:sz w:val="44"/>
              <w:lang w:val="en-US" w:eastAsia="zh-CN"/>
            </w:rPr>
          </w:pPr>
          <w:bookmarkStart w:id="6" w:name="_GoBack"/>
          <w:bookmarkEnd w:id="6"/>
        </w:p>
      </w:sdtContent>
    </w:sdt>
    <w:p w14:paraId="7B3CE8AC">
      <w:pPr>
        <w:pStyle w:val="2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sz w:val="24"/>
          <w:szCs w:val="24"/>
        </w:rPr>
        <w:t>建设要求</w:t>
      </w:r>
      <w:bookmarkEnd w:id="0"/>
    </w:p>
    <w:p w14:paraId="7B3CE8AD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我院现有设备清单：</w:t>
      </w:r>
    </w:p>
    <w:tbl>
      <w:tblPr>
        <w:tblStyle w:val="10"/>
        <w:tblW w:w="60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7"/>
        <w:gridCol w:w="1734"/>
        <w:gridCol w:w="1516"/>
      </w:tblGrid>
      <w:tr w14:paraId="7B3C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14:paraId="7B3C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服务器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浪潮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6台</w:t>
            </w:r>
          </w:p>
        </w:tc>
      </w:tr>
      <w:tr w14:paraId="7B3CE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云平台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ZStack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Hans" w:bidi="ar"/>
              </w:rPr>
              <w:t>套</w:t>
            </w:r>
          </w:p>
        </w:tc>
      </w:tr>
      <w:tr w14:paraId="7B3C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超融合存储软件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大道云行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1套</w:t>
            </w:r>
          </w:p>
        </w:tc>
      </w:tr>
      <w:tr w14:paraId="7B3C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万兆交换机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浪潮网络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2台</w:t>
            </w:r>
          </w:p>
        </w:tc>
      </w:tr>
      <w:tr w14:paraId="7B3CE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千兆交换机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浪潮网络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2台</w:t>
            </w:r>
          </w:p>
        </w:tc>
      </w:tr>
      <w:tr w14:paraId="7B3C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备份一体机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柏科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8C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1台</w:t>
            </w:r>
          </w:p>
        </w:tc>
      </w:tr>
    </w:tbl>
    <w:p w14:paraId="7B3CE8D1">
      <w:pPr>
        <w:pStyle w:val="2"/>
        <w:ind w:firstLine="0" w:firstLineChars="0"/>
        <w:rPr>
          <w:rFonts w:ascii="PingFang SC" w:hAnsi="PingFang SC" w:eastAsia="PingFang SC" w:cs="PingFang SC"/>
          <w:sz w:val="24"/>
          <w:szCs w:val="24"/>
        </w:rPr>
      </w:pPr>
      <w:bookmarkStart w:id="1" w:name="_Toc1489181040"/>
      <w:r>
        <w:rPr>
          <w:rFonts w:hint="eastAsia" w:ascii="PingFang SC" w:hAnsi="PingFang SC" w:eastAsia="PingFang SC" w:cs="PingFang SC"/>
          <w:sz w:val="24"/>
          <w:szCs w:val="24"/>
          <w:lang w:val="en-US" w:eastAsia="zh-CN"/>
        </w:rPr>
        <w:t>二、</w:t>
      </w:r>
      <w:r>
        <w:rPr>
          <w:rFonts w:hint="eastAsia" w:ascii="PingFang SC" w:hAnsi="PingFang SC" w:eastAsia="PingFang SC" w:cs="PingFang SC"/>
          <w:sz w:val="24"/>
          <w:szCs w:val="24"/>
        </w:rPr>
        <w:t>方案</w:t>
      </w:r>
      <w:bookmarkEnd w:id="1"/>
      <w:r>
        <w:rPr>
          <w:rFonts w:hint="eastAsia" w:ascii="PingFang SC" w:hAnsi="PingFang SC" w:eastAsia="PingFang SC" w:cs="PingFang SC"/>
          <w:sz w:val="24"/>
          <w:szCs w:val="24"/>
        </w:rPr>
        <w:t>要求</w:t>
      </w:r>
    </w:p>
    <w:p w14:paraId="7B3CE8D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基于上述设备清单，完成我院核心业务平台双活建设。</w:t>
      </w:r>
    </w:p>
    <w:p w14:paraId="7B3CE8D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b/>
          <w:bCs/>
          <w:sz w:val="24"/>
          <w:szCs w:val="24"/>
        </w:rPr>
        <w:t>云平台侧，</w:t>
      </w:r>
      <w:r>
        <w:rPr>
          <w:rFonts w:hint="eastAsia"/>
          <w:sz w:val="24"/>
          <w:szCs w:val="24"/>
        </w:rPr>
        <w:t>可通过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原平台进行统一管理。</w:t>
      </w:r>
    </w:p>
    <w:p w14:paraId="7B3CE8D4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bCs/>
          <w:sz w:val="24"/>
          <w:szCs w:val="24"/>
        </w:rPr>
        <w:t>存储侧，</w:t>
      </w:r>
      <w:r>
        <w:rPr>
          <w:sz w:val="24"/>
          <w:szCs w:val="28"/>
        </w:rPr>
        <w:t>基于统一数据平台，实现数据层的双活架构，配合</w:t>
      </w:r>
      <w:r>
        <w:rPr>
          <w:rFonts w:hint="eastAsia"/>
          <w:sz w:val="24"/>
          <w:szCs w:val="28"/>
        </w:rPr>
        <w:t>云</w:t>
      </w:r>
      <w:r>
        <w:rPr>
          <w:sz w:val="24"/>
          <w:szCs w:val="28"/>
        </w:rPr>
        <w:t>平台的双活机制，实现应用程序双活架构，超融合内存储面向应用层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镜像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集群创建的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镜像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池</w:t>
      </w:r>
      <w:r>
        <w:rPr>
          <w:sz w:val="24"/>
          <w:szCs w:val="28"/>
        </w:rPr>
        <w:t>，可以将副本分布在不同的数据中心，保证数据强一致性，实现存储数据的双活架构。</w:t>
      </w:r>
    </w:p>
    <w:p w14:paraId="7B3CE8D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3、</w:t>
      </w:r>
      <w:r>
        <w:rPr>
          <w:rFonts w:hint="eastAsia"/>
          <w:b/>
          <w:bCs/>
          <w:sz w:val="24"/>
          <w:szCs w:val="28"/>
        </w:rPr>
        <w:t>网络侧，</w:t>
      </w:r>
      <w:r>
        <w:rPr>
          <w:rFonts w:hint="eastAsia"/>
          <w:sz w:val="24"/>
          <w:szCs w:val="28"/>
        </w:rPr>
        <w:t>管理层面、业务层面、存储层面均实现跨机房冗余、跨机房堆叠。</w:t>
      </w:r>
    </w:p>
    <w:p w14:paraId="7B3CE8D6">
      <w:pPr>
        <w:spacing w:line="360" w:lineRule="auto"/>
        <w:rPr>
          <w:rFonts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sz w:val="24"/>
          <w:szCs w:val="28"/>
        </w:rPr>
        <w:t>4、</w:t>
      </w:r>
      <w:r>
        <w:rPr>
          <w:rFonts w:hint="eastAsia"/>
          <w:b/>
          <w:bCs/>
          <w:sz w:val="24"/>
          <w:szCs w:val="28"/>
        </w:rPr>
        <w:t>备份CDP侧，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在异地机房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配置一套CDP容灾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一体机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通过CDP自身复制功能，将本地CDP一体机的数据通过专线复制到异地容灾机房，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对本地机房所有的应用系统及数据提供全面的容灾保护能力；当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本地机房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发生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水灾、火灾等灾难性故障时导致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数据丢失、业务系统中断时，能够通过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异地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CDP快速地完成数据的恢复，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也可以通过快速接管完成业务系统的恢复。</w:t>
      </w:r>
    </w:p>
    <w:p w14:paraId="7B3CE8D7">
      <w:pPr>
        <w:spacing w:line="360" w:lineRule="auto"/>
        <w:rPr>
          <w:rFonts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5、</w:t>
      </w:r>
      <w:r>
        <w:rPr>
          <w:rFonts w:hint="eastAsia" w:ascii="宋体" w:hAnsi="宋体" w:cs="宋体"/>
          <w:b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DMZ区侧，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基于原有云平台使用习惯，为保障核心业务系统安全可靠，此次将DMZ区业务进行独立规划。</w:t>
      </w:r>
    </w:p>
    <w:p w14:paraId="7B3CE8D8">
      <w:pPr>
        <w:pStyle w:val="2"/>
        <w:ind w:firstLine="0" w:firstLineChars="0"/>
        <w:rPr>
          <w:rFonts w:ascii="PingFang SC" w:hAnsi="PingFang SC" w:eastAsia="PingFang SC" w:cs="PingFang SC"/>
          <w:sz w:val="24"/>
          <w:szCs w:val="24"/>
        </w:rPr>
      </w:pPr>
      <w:bookmarkStart w:id="2" w:name="_Toc1891317142"/>
      <w:r>
        <w:rPr>
          <w:rFonts w:hint="eastAsia" w:ascii="PingFang SC" w:hAnsi="PingFang SC" w:eastAsia="PingFang SC" w:cs="PingFang SC"/>
          <w:sz w:val="24"/>
          <w:szCs w:val="24"/>
          <w:lang w:val="en-US" w:eastAsia="zh-CN"/>
        </w:rPr>
        <w:t>三、</w:t>
      </w:r>
      <w:r>
        <w:rPr>
          <w:rFonts w:hint="eastAsia" w:ascii="PingFang SC" w:hAnsi="PingFang SC" w:eastAsia="PingFang SC" w:cs="PingFang SC"/>
          <w:sz w:val="24"/>
          <w:szCs w:val="24"/>
        </w:rPr>
        <w:t>技术要求</w:t>
      </w:r>
      <w:bookmarkEnd w:id="2"/>
    </w:p>
    <w:p w14:paraId="7B3CE8D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此次技术要求具体</w:t>
      </w:r>
      <w:r>
        <w:rPr>
          <w:rFonts w:hint="eastAsia"/>
          <w:sz w:val="24"/>
          <w:szCs w:val="28"/>
          <w:lang w:eastAsia="zh-Hans"/>
        </w:rPr>
        <w:t>配置</w:t>
      </w:r>
      <w:r>
        <w:rPr>
          <w:rFonts w:hint="eastAsia"/>
          <w:sz w:val="24"/>
          <w:szCs w:val="28"/>
        </w:rPr>
        <w:t>要求如下：</w:t>
      </w:r>
    </w:p>
    <w:tbl>
      <w:tblPr>
        <w:tblStyle w:val="10"/>
        <w:tblW w:w="861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12"/>
        <w:gridCol w:w="4097"/>
        <w:gridCol w:w="850"/>
        <w:gridCol w:w="850"/>
        <w:gridCol w:w="1023"/>
      </w:tblGrid>
      <w:tr w14:paraId="7B3C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shd w:val="clear" w:color="auto" w:fill="auto"/>
            <w:vAlign w:val="center"/>
          </w:tcPr>
          <w:p w14:paraId="7B3CE8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配置信息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B3C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81" w:type="dxa"/>
            <w:shd w:val="clear" w:color="auto" w:fill="auto"/>
            <w:vAlign w:val="center"/>
          </w:tcPr>
          <w:p w14:paraId="7B3CE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8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云平台宿主机服务器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XEON 5320*2 /散热片*2 /DDR4 3200 32G*24 /14TB 3.5吋7.2k 6Gb SATA硬盘*5 /480G 2.5 SATA 6Gb R SSD*2 /1.92T 2.5 SATA6G R SSD*2 /8GB SAS 16口RAID卡 /R2E8R-U2 Riser卡 /R1E6_2E8R-U2 Riser卡*2 /四盘位硬盘背板*3 /四口1G RJ45网卡 /双口10G SFP+无模块光纤网卡*3 /10G SFP+多模光模块*6 /左箱耳（含USB2.0） /标准右箱耳 /800W电源模块*2 /滑轨 /150cm 国标电源线*2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已有机器配置</w:t>
            </w:r>
          </w:p>
        </w:tc>
      </w:tr>
      <w:tr w14:paraId="7B3C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81" w:type="dxa"/>
            <w:shd w:val="clear" w:color="auto" w:fill="auto"/>
            <w:vAlign w:val="center"/>
          </w:tcPr>
          <w:p w14:paraId="7B3CE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8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云平台软件扩容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8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主机服务可提供安全可靠的弹性计算服务。云主机是由CPU、内存、镜像、云硬盘组成的一种可随时获取、弹性可扩展的计算服务。云主机支持从1核1G到255核6000G云主机规格，可提供服务的内容包括高性能、普通性能云主机来满足实际业务所需要的场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通过虚拟化技术，云平台可为用户提供云主机的基础运行环境。用户获得云主机后，可安装合适的业务应用系统（如Linux、Windows Server等），并通过Web界面可对云主机执行众多的生命周期管理操作，包括停止、启动、快照、克隆和加载/卸载数据云盘等操作。云主机包含vCPU、内存、系统云盘、数据云盘和虚拟网卡等资源服务。</w:t>
            </w:r>
          </w:p>
          <w:p w14:paraId="7B3CE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为满足平台统一建设，云平台须被现有云平台进行纳管；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为满足平台统一建设，云平台须被现有云平台进行纳管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已有软件配置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）</w:t>
            </w:r>
          </w:p>
        </w:tc>
      </w:tr>
      <w:tr w14:paraId="7B3C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shd w:val="clear" w:color="auto" w:fill="auto"/>
            <w:vAlign w:val="center"/>
          </w:tcPr>
          <w:p w14:paraId="7B3CE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7B3CE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扩容分布式存储软件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8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配置分布式存储平台授权，采用SDS2.0架构，功能授权包含：iSCSI、NVMeoF（RDMA和TCP）块接口访问，支持Cinder接口，支持CSI接口，支持iSCSI多路径，支持多副本、纠删码冗余保护，支持N+M:1冗余配比，支持冷热数据分层，支持CPU物理核心分配与绑定，支持单节点运行，支持Log-Structure结构，支持Trim回收指令，支持镜像集群，支持自动精简配置、QOS、快照、自动负载均衡等数据管理功能；含3年质保服务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8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为实现存储双活效果，需与原存储构建为镜像集群架构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已有软件配置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）</w:t>
            </w:r>
          </w:p>
        </w:tc>
      </w:tr>
      <w:tr w14:paraId="7B3C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1" w:type="dxa"/>
            <w:shd w:val="clear" w:color="auto" w:fill="auto"/>
            <w:vAlign w:val="center"/>
          </w:tcPr>
          <w:p w14:paraId="7B3CE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7B3CE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改造分布式存储软件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8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配置分布式存储平台数据整体迁移改造。采用SDS2.0架构，功能授权包含：iSCSI、NVMeoF（RDMA和TCP）块接口访问，支持Cinder接口，支持CSI接口，支持iSCSI多路径，支持多副本、纠删码冗余保护，支持N+M:1冗余配比，支持冷热数据分层，支持CPU物理核心分配与绑定，支持单节点运行，支持Log-Structure结构，支持Trim回收指令，支持镜像集群，支持自动精简配置、QOS、快照、自动负载均衡等数据管理功能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本卷升级实施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服务。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需提供本卷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升级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实施服务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已有软件配置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）</w:t>
            </w:r>
          </w:p>
        </w:tc>
      </w:tr>
      <w:tr w14:paraId="7B3C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81" w:type="dxa"/>
            <w:shd w:val="clear" w:color="auto" w:fill="auto"/>
            <w:vAlign w:val="center"/>
          </w:tcPr>
          <w:p w14:paraId="7B3CE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7B3CE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仲裁节点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2U标准机架式，2*12Core 2.1GHz CPU，128GB DDR4 内存，2*960GB RI SSD（系统盘）），1*LSI控制器 RAID卡（支持RAID1和直通），1*2端口万兆光接口网卡（含多模光模块），1*4端口电接口网卡，含硬件3年质保服务。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存储仲裁节点</w:t>
            </w:r>
          </w:p>
        </w:tc>
      </w:tr>
      <w:tr w14:paraId="7B3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7B3CE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7B3CE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超融合业务交换机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CN61108PC-V-H交换机，48个10Gbps SFP+光纤接口和6个40G QSFP+光纤接口，2+2冗余风扇，双电源，含系统软件；原厂维保3年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B3CE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7B3CE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双活机房超融合网络部署</w:t>
            </w:r>
          </w:p>
        </w:tc>
      </w:tr>
      <w:tr w14:paraId="7B3C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vMerge w:val="continue"/>
            <w:shd w:val="clear" w:color="auto" w:fill="auto"/>
            <w:vAlign w:val="center"/>
          </w:tcPr>
          <w:p w14:paraId="7B3CE9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vAlign w:val="center"/>
          </w:tcPr>
          <w:p w14:paraId="7B3CE9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14:paraId="7B3CE9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10GBASE-SR SFP+光模块，多模，850nm，双LC，OM3 50μm光纤传输最大300M，OM4 50μm光纤传输最大400M，Partial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7B3CE9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continue"/>
            <w:shd w:val="clear" w:color="auto" w:fill="auto"/>
            <w:vAlign w:val="center"/>
          </w:tcPr>
          <w:p w14:paraId="7B3CE91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B3C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shd w:val="clear" w:color="auto" w:fill="auto"/>
            <w:vAlign w:val="center"/>
          </w:tcPr>
          <w:p w14:paraId="7B3CE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9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超融合管理交换机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S6220交换机，48个10/100/1000Base-T电口, 4个万兆SFP+光口，双电源插槽，含两个75W电源，交流220V供电。原厂维保3年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vMerge w:val="continue"/>
            <w:shd w:val="clear" w:color="auto" w:fill="auto"/>
            <w:vAlign w:val="center"/>
          </w:tcPr>
          <w:p w14:paraId="7B3CE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B3C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81" w:type="dxa"/>
            <w:shd w:val="clear" w:color="auto" w:fill="auto"/>
            <w:vAlign w:val="center"/>
          </w:tcPr>
          <w:p w14:paraId="7B3CE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灾备一体机扩容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1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灾备设备扩容，与医院现有灾备设备无缝兼容，配置4*4TB企业级硬盘，10TB容量保护扩容授权许可，支持对操作系统、应用APP、核心数据同时一体化保护，支持数据实时同步、秒级智能快照、CDP持续IO记录，一键接管、远程复制等功能；提供现场安装实施服务，3年原厂商免费质保与7*24小时技术支持服务（仅限扩容部分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备份空间扩容</w:t>
            </w:r>
          </w:p>
        </w:tc>
      </w:tr>
      <w:tr w14:paraId="7B3C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81" w:type="dxa"/>
            <w:shd w:val="clear" w:color="auto" w:fill="auto"/>
            <w:vAlign w:val="center"/>
          </w:tcPr>
          <w:p w14:paraId="7B3CE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异地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灾备一体机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2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异地灾备系统，与现有本地灾备设备兼容，标准机架式设计，采用64位高性能处理器，内置实时保护模块，采用基于底层的数据块同步技术，支持对操作系统、应用APP、核心数据同时一体化保护，支持数据实时同步、秒级智能快照、CDP持续IO记录，一键接管、远程复制等功能；配置64G缓存，2*240G SSD系统盘，8*4TB企业级硬盘，2个1GbE端口，20TB实时数据保护许可；配置冗余电源/风扇，提供三年原厂质保及现场实施技术支持服务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需配置与原有平台的软件数据对接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并实现统一管理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。</w:t>
            </w:r>
          </w:p>
        </w:tc>
      </w:tr>
      <w:tr w14:paraId="7B3C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81" w:type="dxa"/>
            <w:shd w:val="clear" w:color="auto" w:fill="auto"/>
            <w:vAlign w:val="center"/>
          </w:tcPr>
          <w:p w14:paraId="7B3CE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9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DMZ区一体机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3节点，提供计算、存储、网络虚拟化及资源管理等功能，可对接增值模块。支持多副本、EC纠删码等多种数据安全性保护机制：（超融合节点） /intel 4310及以上*2 /32G*8 /8TB *4 /1.92T SATA SSD（读写混合型）*1  /480G*2 /8口RAID卡/双口1G 网卡*2 /双口10G SFP+光纤网卡*2 /10G SFP+多模光模块*4/超融合分布式存储系统软件</w:t>
            </w:r>
          </w:p>
          <w:p w14:paraId="7B3CE92B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配置6颗CPU的超融合软件永久授权，包含计算虚拟化、存储虚拟化、网络虚拟化、云管理平台功能。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DMZ区新增一体化云服务器包含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Hans" w:bidi="ar"/>
              </w:rPr>
              <w:t>一体化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软件（提供计算、存储、网络虚拟化、云管理平台永久授权）</w:t>
            </w:r>
          </w:p>
        </w:tc>
      </w:tr>
      <w:tr w14:paraId="7B3C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1" w:type="dxa"/>
            <w:shd w:val="clear" w:color="auto" w:fill="auto"/>
            <w:vAlign w:val="center"/>
          </w:tcPr>
          <w:p w14:paraId="7B3CE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3CE9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整体实施服务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B3CE932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整体实施服务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E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3CE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7B3CE937"/>
    <w:p w14:paraId="7B3CE938">
      <w:pPr>
        <w:pStyle w:val="2"/>
        <w:ind w:firstLine="0" w:firstLineChars="0"/>
        <w:rPr>
          <w:rFonts w:ascii="PingFang SC" w:hAnsi="PingFang SC" w:eastAsia="PingFang SC" w:cs="PingFang S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314262700"/>
      <w:r>
        <w:rPr>
          <w:rFonts w:hint="eastAsia" w:ascii="PingFang SC" w:hAnsi="PingFang SC" w:eastAsia="PingFang SC" w:cs="PingFang SC"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PingFang SC" w:hAnsi="PingFang SC" w:eastAsia="PingFang SC" w:cs="PingFang S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服务要求</w:t>
      </w:r>
      <w:bookmarkEnd w:id="3"/>
    </w:p>
    <w:p w14:paraId="7B3CE939">
      <w:pPr>
        <w:numPr>
          <w:ilvl w:val="0"/>
          <w:numId w:val="0"/>
        </w:numPr>
        <w:spacing w:line="360" w:lineRule="auto"/>
        <w:ind w:left="420" w:leftChars="0" w:hanging="42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管理服务要求：</w:t>
      </w:r>
    </w:p>
    <w:p w14:paraId="7B3CE9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为实现平台双活统一建设，云平台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Hans"/>
        </w:rPr>
        <w:t>存储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cpd容灾系统均</w:t>
      </w:r>
      <w:r>
        <w:rPr>
          <w:rFonts w:hint="eastAsia"/>
          <w:sz w:val="24"/>
          <w:szCs w:val="24"/>
        </w:rPr>
        <w:t>须被现有云平台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Hans"/>
        </w:rPr>
        <w:t>存储cpd容灾系统</w:t>
      </w:r>
      <w:r>
        <w:rPr>
          <w:rFonts w:hint="eastAsia"/>
          <w:sz w:val="24"/>
          <w:szCs w:val="24"/>
        </w:rPr>
        <w:t>进行纳管；</w:t>
      </w:r>
    </w:p>
    <w:p w14:paraId="7B3CE93B">
      <w:pPr>
        <w:numPr>
          <w:ilvl w:val="0"/>
          <w:numId w:val="0"/>
        </w:numPr>
        <w:spacing w:line="360" w:lineRule="auto"/>
        <w:ind w:left="420" w:leftChars="0" w:hanging="42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安装调试服务：</w:t>
      </w:r>
    </w:p>
    <w:p w14:paraId="7B3CE93C">
      <w:pPr>
        <w:spacing w:line="360" w:lineRule="auto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>完成上述软硬件产品所有安装</w:t>
      </w:r>
      <w:r>
        <w:rPr>
          <w:rFonts w:hint="eastAsia"/>
          <w:sz w:val="24"/>
          <w:szCs w:val="24"/>
          <w:lang w:eastAsia="zh-Hans"/>
        </w:rPr>
        <w:t>上架连</w:t>
      </w:r>
      <w:r>
        <w:rPr>
          <w:rFonts w:hint="eastAsia"/>
          <w:sz w:val="24"/>
          <w:szCs w:val="24"/>
        </w:rPr>
        <w:t>调试工作</w:t>
      </w:r>
      <w:r>
        <w:rPr>
          <w:rFonts w:hint="eastAsia"/>
          <w:sz w:val="24"/>
          <w:szCs w:val="24"/>
          <w:lang w:eastAsia="zh-Hans"/>
        </w:rPr>
        <w:t>及核心业务线上数据迁移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数据校验工作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最终实现核心业务双活平台交付</w:t>
      </w:r>
      <w:r>
        <w:rPr>
          <w:sz w:val="24"/>
          <w:szCs w:val="24"/>
          <w:lang w:eastAsia="zh-Hans"/>
        </w:rPr>
        <w:t>。</w:t>
      </w:r>
    </w:p>
    <w:p w14:paraId="7B3CE93D">
      <w:pPr>
        <w:numPr>
          <w:ilvl w:val="0"/>
          <w:numId w:val="0"/>
        </w:numPr>
        <w:spacing w:line="360" w:lineRule="auto"/>
        <w:ind w:left="420" w:leftChars="0" w:hanging="420" w:firstLineChars="0"/>
        <w:rPr>
          <w:b/>
          <w:bCs/>
          <w:sz w:val="24"/>
          <w:szCs w:val="24"/>
        </w:rPr>
      </w:pPr>
      <w:r>
        <w:rPr>
          <w:rFonts w:hint="eastAsia" w:ascii="Wingdings" w:hAnsi="Wingdings" w:cs="Times New Roman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/>
          <w:b/>
          <w:bCs/>
          <w:sz w:val="24"/>
          <w:szCs w:val="24"/>
        </w:rPr>
        <w:t>质保服务要求：</w:t>
      </w:r>
    </w:p>
    <w:p w14:paraId="7B3CE93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1、服务器侧，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/>
          <w:sz w:val="24"/>
          <w:szCs w:val="24"/>
        </w:rPr>
        <w:t>年7*24小时原厂技术支持服务。</w:t>
      </w:r>
    </w:p>
    <w:p w14:paraId="7B3CE93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2、云平台侧，3年7*24小时原厂技术支持服务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B3CE940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4"/>
        </w:rPr>
        <w:t>3、存储侧，3年7*24小时原厂技术支持服务</w:t>
      </w:r>
      <w:r>
        <w:rPr>
          <w:rFonts w:hint="eastAsia"/>
          <w:sz w:val="24"/>
          <w:szCs w:val="28"/>
        </w:rPr>
        <w:t>。</w:t>
      </w:r>
    </w:p>
    <w:p w14:paraId="7B3CE941">
      <w:pPr>
        <w:spacing w:line="360" w:lineRule="auto"/>
        <w:rPr>
          <w:rFonts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sz w:val="24"/>
          <w:szCs w:val="28"/>
        </w:rPr>
        <w:t>4、备份CDP侧，3</w:t>
      </w:r>
      <w:r>
        <w:rPr>
          <w:rFonts w:hint="eastAsia"/>
          <w:sz w:val="24"/>
          <w:szCs w:val="24"/>
        </w:rPr>
        <w:t>年7*24小时原厂技术支持服务</w:t>
      </w:r>
      <w:r>
        <w:rPr>
          <w:rFonts w:hint="eastAsia" w:ascii="宋体" w:hAnsi="宋体" w:cs="宋体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 w14:paraId="7B3CE94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5、DMZ区侧，3年7*24小时原厂技术支持服务。</w:t>
      </w:r>
    </w:p>
    <w:p w14:paraId="7B3CE943">
      <w:pPr>
        <w:rPr>
          <w:lang w:eastAsia="zh-Hans"/>
        </w:rPr>
      </w:pPr>
      <w:r>
        <w:rPr>
          <w:lang w:eastAsia="zh-Hans"/>
        </w:rPr>
        <w:br w:type="page"/>
      </w:r>
    </w:p>
    <w:p w14:paraId="7B3CE944">
      <w:pPr>
        <w:widowControl/>
        <w:spacing w:line="360" w:lineRule="auto"/>
        <w:jc w:val="left"/>
        <w:outlineLvl w:val="0"/>
        <w:rPr>
          <w:lang w:eastAsia="zh-Hans"/>
        </w:rPr>
      </w:pPr>
      <w:bookmarkStart w:id="4" w:name="_Toc1150910927"/>
      <w:bookmarkStart w:id="5" w:name="_Toc310413703"/>
      <w:r>
        <w:rPr>
          <w:rFonts w:hint="eastAsia" w:ascii="宋体" w:hAnsi="宋体" w:cs="宋体"/>
          <w:kern w:val="0"/>
          <w:sz w:val="24"/>
          <w:szCs w:val="24"/>
          <w:lang w:bidi="ar"/>
        </w:rPr>
        <w:t>附件（报价单）：</w:t>
      </w:r>
      <w:bookmarkEnd w:id="4"/>
      <w:bookmarkEnd w:id="5"/>
    </w:p>
    <w:tbl>
      <w:tblPr>
        <w:tblStyle w:val="10"/>
        <w:tblpPr w:leftFromText="180" w:rightFromText="180" w:vertAnchor="text" w:horzAnchor="page" w:tblpX="1465" w:tblpY="519"/>
        <w:tblOverlap w:val="never"/>
        <w:tblW w:w="9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12"/>
        <w:gridCol w:w="2600"/>
        <w:gridCol w:w="907"/>
        <w:gridCol w:w="917"/>
        <w:gridCol w:w="1667"/>
        <w:gridCol w:w="1668"/>
      </w:tblGrid>
      <w:tr w14:paraId="7B3C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报价单</w:t>
            </w:r>
          </w:p>
        </w:tc>
      </w:tr>
      <w:tr w14:paraId="6C07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号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Hans" w:bidi="ar"/>
              </w:rPr>
              <w:t>数量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价（元）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4FC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金额（元）</w:t>
            </w:r>
          </w:p>
        </w:tc>
      </w:tr>
      <w:tr w14:paraId="6F7BA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核心业务双活平台建设技术要求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云平台宿主机服务器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E9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C9D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云平台软件扩容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27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9AE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扩容分布式存储软件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53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B8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改造分布式存储软件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67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20F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仲裁节点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93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B85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超融合业务交换机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71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3813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超融合管理交换机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98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FF7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7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本地灾备一体机扩容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EA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645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异地灾备一体机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36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C17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DMZ区一体机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9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45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B3CE993"/>
    <w:sectPr>
      <w:footerReference r:id="rId5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E99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CE99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CE99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17EB8"/>
    <w:multiLevelType w:val="multilevel"/>
    <w:tmpl w:val="FF817EB8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pStyle w:val="13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YWIyN2RhM2M4YzExYTg4MmVmNjNmNjgwZWE0MDgifQ=="/>
  </w:docVars>
  <w:rsids>
    <w:rsidRoot w:val="00623E35"/>
    <w:rsid w:val="00012618"/>
    <w:rsid w:val="00033AC3"/>
    <w:rsid w:val="000A1E76"/>
    <w:rsid w:val="000C04D1"/>
    <w:rsid w:val="00186E66"/>
    <w:rsid w:val="00225069"/>
    <w:rsid w:val="00273324"/>
    <w:rsid w:val="00392EA0"/>
    <w:rsid w:val="003E1E4D"/>
    <w:rsid w:val="00441BFD"/>
    <w:rsid w:val="00621129"/>
    <w:rsid w:val="00623E35"/>
    <w:rsid w:val="00704EE4"/>
    <w:rsid w:val="007B1334"/>
    <w:rsid w:val="007E6A29"/>
    <w:rsid w:val="00820BC5"/>
    <w:rsid w:val="009253BA"/>
    <w:rsid w:val="0093288E"/>
    <w:rsid w:val="009345E1"/>
    <w:rsid w:val="00A1220A"/>
    <w:rsid w:val="00B2366F"/>
    <w:rsid w:val="00B33308"/>
    <w:rsid w:val="00B412C1"/>
    <w:rsid w:val="00C25CEA"/>
    <w:rsid w:val="00C50790"/>
    <w:rsid w:val="00C92DFA"/>
    <w:rsid w:val="00CD64F8"/>
    <w:rsid w:val="00DB4395"/>
    <w:rsid w:val="00ED0827"/>
    <w:rsid w:val="00F050DE"/>
    <w:rsid w:val="00F63511"/>
    <w:rsid w:val="04FB624D"/>
    <w:rsid w:val="35E8322A"/>
    <w:rsid w:val="39E85A0E"/>
    <w:rsid w:val="61154F5B"/>
    <w:rsid w:val="62C0797A"/>
    <w:rsid w:val="6EB65EC4"/>
    <w:rsid w:val="7C501FBB"/>
    <w:rsid w:val="EBBDF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sz w:val="18"/>
      <w:szCs w:val="24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after="160" w:line="300" w:lineRule="auto"/>
      <w:ind w:firstLine="480" w:firstLineChars="200"/>
    </w:pPr>
    <w:rPr>
      <w:rFonts w:ascii="宋体" w:hAnsi="宋体" w:eastAsia="宋体" w:cs="黑体"/>
      <w:sz w:val="24"/>
      <w:szCs w:val="24"/>
      <w:lang w:val="en-US" w:eastAsia="zh-CN" w:bidi="ar-SA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  <w:rPr>
      <w:rFonts w:ascii="等线" w:hAnsi="等线" w:eastAsia="等线"/>
      <w:sz w:val="24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null3"/>
    <w:hidden/>
    <w:qFormat/>
    <w:uiPriority w:val="0"/>
    <w:pPr>
      <w:spacing w:after="160" w:line="278" w:lineRule="auto"/>
    </w:pPr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19">
    <w:name w:val="WPSOffice手动目录 1"/>
    <w:qFormat/>
    <w:uiPriority w:val="0"/>
    <w:pPr>
      <w:spacing w:after="160" w:line="278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qFormat/>
    <w:uiPriority w:val="0"/>
    <w:pPr>
      <w:spacing w:after="160" w:line="278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Header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2">
    <w:name w:val="Footer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23">
    <w:name w:val="正文1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2662</Words>
  <Characters>3228</Characters>
  <Lines>24</Lines>
  <Paragraphs>7</Paragraphs>
  <TotalTime>0</TotalTime>
  <ScaleCrop>false</ScaleCrop>
  <LinksUpToDate>false</LinksUpToDate>
  <CharactersWithSpaces>3300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2024-03-30T01:43:00Z</dcterms:created>
  <dc:creator>Administrator</dc:creator>
  <cp:lastModifiedBy>欢乐的蜀黍</cp:lastModifiedBy>
  <cp:lastPrinted>2025-01-06T08:54:10Z</cp:lastPrinted>
  <dcterms:modified xsi:type="dcterms:W3CDTF">2025-01-06T09:02:51Z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165F3945344C4357890400EB219127D9_13</vt:lpwstr>
  </property>
  <property fmtid="{D5CDD505-2E9C-101B-9397-08002B2CF9AE}" pid="4" name="KSOTemplateDocerSaveRecord">
    <vt:lpwstr>eyJoZGlkIjoiMDZhYWIyN2RhM2M4YzExYTg4MmVmNjNmNjgwZWE0MDgiLCJ1c2VySWQiOiIyMDgxNTQ4NiJ9</vt:lpwstr>
  </property>
</Properties>
</file>