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E77FF">
      <w:pPr>
        <w:pStyle w:val="2"/>
        <w:bidi w:val="0"/>
        <w:jc w:val="center"/>
        <w:rPr>
          <w:rFonts w:hint="eastAsia" w:ascii="仿宋" w:hAnsi="仿宋" w:eastAsia="仿宋" w:cs="仿宋"/>
          <w:b w:val="0"/>
          <w:bCs w:val="0"/>
          <w:szCs w:val="30"/>
          <w:highlight w:val="none"/>
        </w:rPr>
      </w:pPr>
      <w:r>
        <w:rPr>
          <w:rFonts w:hint="eastAsia"/>
          <w:sz w:val="36"/>
          <w:szCs w:val="36"/>
          <w:lang w:val="en-US" w:eastAsia="zh-CN"/>
        </w:rPr>
        <w:t>比选</w:t>
      </w:r>
      <w:r>
        <w:rPr>
          <w:rFonts w:hint="eastAsia"/>
          <w:sz w:val="36"/>
          <w:szCs w:val="36"/>
        </w:rPr>
        <w:t>项目技术、服务要求</w:t>
      </w:r>
    </w:p>
    <w:p w14:paraId="4C7576C8">
      <w:pPr>
        <w:tabs>
          <w:tab w:val="left" w:pos="2940"/>
        </w:tabs>
        <w:spacing w:line="480" w:lineRule="auto"/>
        <w:rPr>
          <w:rFonts w:hint="eastAsia" w:ascii="仿宋" w:hAnsi="仿宋" w:eastAsia="仿宋" w:cs="仿宋"/>
          <w:b/>
          <w:bCs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szCs w:val="21"/>
          <w:highlight w:val="none"/>
        </w:rPr>
        <w:t>一</w:t>
      </w:r>
      <w:r>
        <w:rPr>
          <w:rFonts w:hint="eastAsia" w:ascii="仿宋" w:hAnsi="仿宋" w:eastAsia="仿宋" w:cs="仿宋"/>
          <w:b/>
          <w:bCs/>
          <w:sz w:val="24"/>
          <w:highlight w:val="none"/>
        </w:rPr>
        <w:t>、项目概况</w:t>
      </w:r>
    </w:p>
    <w:p w14:paraId="206E5933">
      <w:pPr>
        <w:widowControl/>
        <w:numPr>
          <w:ilvl w:val="0"/>
          <w:numId w:val="0"/>
        </w:numPr>
        <w:snapToGrid w:val="0"/>
        <w:spacing w:line="480" w:lineRule="auto"/>
        <w:ind w:firstLine="480" w:firstLineChars="200"/>
        <w:textAlignment w:val="bottom"/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</w:pPr>
      <w:bookmarkStart w:id="0" w:name="_Toc28778"/>
      <w:bookmarkStart w:id="1" w:name="_Toc18122"/>
      <w:r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  <w:t>1、项目概况及施工范围：本工程为供水支线—云顶镇金竹村支管线及户表工程，金竹村位于隆昌市云顶镇，该村共计595户</w:t>
      </w:r>
      <w:r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zh-CN" w:eastAsia="zh-CN" w:bidi="en-US"/>
        </w:rPr>
        <w:t>。</w:t>
      </w:r>
    </w:p>
    <w:p w14:paraId="02F649E3">
      <w:pPr>
        <w:widowControl/>
        <w:numPr>
          <w:ilvl w:val="0"/>
          <w:numId w:val="0"/>
        </w:numPr>
        <w:snapToGrid w:val="0"/>
        <w:spacing w:line="480" w:lineRule="auto"/>
        <w:ind w:firstLine="480" w:firstLineChars="200"/>
        <w:textAlignment w:val="bottom"/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zh-CN" w:eastAsia="zh-CN" w:bidi="en-US"/>
        </w:rPr>
      </w:pPr>
      <w:r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  <w:t>2、施工内容：新建DN32~DN110给水管道及附属构筑物，明挖施工。</w:t>
      </w:r>
    </w:p>
    <w:p w14:paraId="4FA0CEE7">
      <w:pPr>
        <w:widowControl/>
        <w:numPr>
          <w:ilvl w:val="0"/>
          <w:numId w:val="0"/>
        </w:numPr>
        <w:snapToGrid w:val="0"/>
        <w:spacing w:line="480" w:lineRule="auto"/>
        <w:ind w:firstLine="480" w:firstLineChars="200"/>
        <w:textAlignment w:val="bottom"/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</w:pPr>
      <w:r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  <w:t>3、技术要求：符合PE给水管道开挖，安装及回填等相关技术规范。</w:t>
      </w:r>
      <w:bookmarkEnd w:id="0"/>
    </w:p>
    <w:bookmarkEnd w:id="1"/>
    <w:p w14:paraId="56679EE3">
      <w:pPr>
        <w:widowControl/>
        <w:numPr>
          <w:ilvl w:val="0"/>
          <w:numId w:val="0"/>
        </w:numPr>
        <w:snapToGrid w:val="0"/>
        <w:spacing w:line="480" w:lineRule="auto"/>
        <w:ind w:firstLine="480" w:firstLineChars="200"/>
        <w:textAlignment w:val="bottom"/>
        <w:rPr>
          <w:rFonts w:hint="default" w:ascii="仿宋" w:hAnsi="仿宋" w:eastAsia="仿宋" w:cs="仿宋"/>
          <w:b/>
          <w:bCs/>
          <w:color w:val="auto"/>
          <w:sz w:val="24"/>
          <w:highlight w:val="none"/>
          <w:lang w:val="en-US" w:eastAsia="zh-CN" w:bidi="en-US"/>
        </w:rPr>
        <w:sectPr>
          <w:footerReference r:id="rId3" w:type="default"/>
          <w:footerReference r:id="rId4" w:type="even"/>
          <w:pgSz w:w="11910" w:h="16840"/>
          <w:pgMar w:top="1440" w:right="1080" w:bottom="1440" w:left="1080" w:header="0" w:footer="1756" w:gutter="0"/>
          <w:pgNumType w:fmt="decimal"/>
          <w:cols w:space="720" w:num="1"/>
        </w:sectPr>
      </w:pPr>
      <w:r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  <w:t>4、工程量清单（详见附件）</w:t>
      </w:r>
    </w:p>
    <w:p w14:paraId="7D091D3D">
      <w:pPr>
        <w:pStyle w:val="2"/>
        <w:numPr>
          <w:ilvl w:val="0"/>
          <w:numId w:val="0"/>
        </w:numPr>
        <w:bidi w:val="0"/>
        <w:jc w:val="center"/>
        <w:rPr>
          <w:rFonts w:hint="default"/>
          <w:lang w:val="en-US" w:eastAsia="zh-CN"/>
        </w:rPr>
      </w:pPr>
      <w:bookmarkStart w:id="2" w:name="_Toc6064"/>
      <w:bookmarkStart w:id="3" w:name="_Toc31878"/>
      <w:bookmarkStart w:id="13" w:name="_GoBack"/>
      <w:bookmarkEnd w:id="13"/>
      <w:r>
        <w:rPr>
          <w:rFonts w:hint="eastAsia" w:ascii="宋体" w:hAnsi="宋体" w:cs="Times New Roman"/>
          <w:sz w:val="36"/>
          <w:szCs w:val="36"/>
          <w:lang w:val="en-US" w:eastAsia="zh-CN"/>
        </w:rPr>
        <w:t>商务要求</w:t>
      </w:r>
      <w:bookmarkEnd w:id="2"/>
      <w:bookmarkEnd w:id="3"/>
    </w:p>
    <w:p w14:paraId="595A5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hint="default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4" w:name="_Toc28384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一、工期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：150个日历天</w:t>
      </w:r>
      <w:bookmarkEnd w:id="4"/>
    </w:p>
    <w:p w14:paraId="73258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5" w:name="_Toc26040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二、付款方式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：1.开工7天前，甲方向乙方预付安全文明施工费：20000.00元（大写：贰万元整）；</w:t>
      </w:r>
      <w:bookmarkEnd w:id="5"/>
    </w:p>
    <w:p w14:paraId="1E1A0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6" w:name="_Toc8613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2.在工程完成实际工程量的30%时，经甲方审核后，甲方向乙方支付至审核工程量的30%；在工程量完成实际工程量的50%时，甲方向乙方支付至审核工程量的50%；在工程量完成实际工程量的80%时，甲方向乙方支付至审核工程量的80%；工程全部竣工并验收合格和审计完结后，甲方向乙方支付支付至审计结算金额的97%，扣除的3%质保金待质保期满后无息退还。</w:t>
      </w:r>
      <w:bookmarkEnd w:id="6"/>
    </w:p>
    <w:p w14:paraId="56D52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hint="default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7" w:name="_Toc2932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三、验收方式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：工程完工后乙方应做好自检工作，自检合格后书面通知甲方，由甲、乙双方按《建筑给水排水及采暖工程施工质量验收规范》(GB50242-2002)组织对工程进行竣工验收。</w:t>
      </w:r>
      <w:bookmarkEnd w:id="7"/>
    </w:p>
    <w:p w14:paraId="1A054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8" w:name="_Toc14451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四、违约责任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： 若因中选人原因，未能在规定时间内完成比选人安排的工作内容视为违约，按照采购 合同相关约定承担违约责任。</w:t>
      </w:r>
      <w:bookmarkEnd w:id="8"/>
    </w:p>
    <w:p w14:paraId="4AB68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ascii="宋体" w:hAnsi="宋体" w:eastAsia="宋体" w:cs="宋体"/>
          <w:sz w:val="24"/>
          <w:szCs w:val="24"/>
        </w:rPr>
      </w:pPr>
      <w:bookmarkStart w:id="9" w:name="_Toc26788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五、其他要求：</w:t>
      </w:r>
      <w:bookmarkEnd w:id="9"/>
      <w:r>
        <w:rPr>
          <w:rFonts w:ascii="宋体" w:hAnsi="宋体" w:eastAsia="宋体" w:cs="宋体"/>
          <w:sz w:val="24"/>
          <w:szCs w:val="24"/>
        </w:rPr>
        <w:t xml:space="preserve"> </w:t>
      </w:r>
    </w:p>
    <w:p w14:paraId="21D24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10" w:name="_Toc3890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（一）质量要求：本工程必须满足设计及相关的国家验收合格标准。如未能达到所要 求的设计及相关的国家验收合格标准，返工产生的一切费用由中选人自行承担。</w:t>
      </w:r>
    </w:p>
    <w:p w14:paraId="22C33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（二）质保期：按照国家相关技术规范之标准，正常使用条件下，产品质保期为24个月（自验收合格之日起）。质保期内出现安装质量问题，乙方应免费进行维修、更换。</w:t>
      </w:r>
      <w:bookmarkEnd w:id="10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 xml:space="preserve"> </w:t>
      </w:r>
    </w:p>
    <w:p w14:paraId="3ED34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11" w:name="_Toc8213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（三）缺陷责任期：自工程通过竣工验收之日起24个月。</w:t>
      </w:r>
      <w:bookmarkEnd w:id="11"/>
      <w:bookmarkStart w:id="12" w:name="_Toc8699"/>
    </w:p>
    <w:p w14:paraId="04686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（四）</w:t>
      </w:r>
      <w:bookmarkEnd w:id="12"/>
      <w:r>
        <w:rPr>
          <w:rFonts w:hint="eastAsia" w:ascii="仿宋" w:hAnsi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安全责任：因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中选</w:t>
      </w:r>
      <w:r>
        <w:rPr>
          <w:rFonts w:hint="eastAsia" w:ascii="仿宋" w:hAnsi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单位未按标准进行安全施工、施工安全防护不到位及其他原因造成的安全事故、人员伤亡、临近建筑物损坏、财产损失的，由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中选</w:t>
      </w:r>
      <w:r>
        <w:rPr>
          <w:rFonts w:hint="eastAsia" w:ascii="仿宋" w:hAnsi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单位承担全部赔偿事宜并承担相应的法律责任。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A2636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A5AA6B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A5AA6B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A7F289C">
    <w:pPr>
      <w:pStyle w:val="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935712"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973455</wp:posOffset>
              </wp:positionH>
              <wp:positionV relativeFrom="page">
                <wp:posOffset>6304280</wp:posOffset>
              </wp:positionV>
              <wp:extent cx="647700" cy="22225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EFB6746">
                          <w:pPr>
                            <w:spacing w:before="7"/>
                            <w:ind w:left="20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28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6.65pt;margin-top:496.4pt;height:17.5pt;width:51pt;mso-position-horizontal-relative:page;mso-position-vertical-relative:page;z-index:-251657216;mso-width-relative:page;mso-height-relative:page;" filled="f" stroked="f" coordsize="21600,21600" o:gfxdata="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e1UWE9kAAAAMAQAADwAAAAAAAAABACAAAAAiAAAAZHJzL2Rvd25yZXYueG1s&#10;UEsBAhQAFAAAAAgAh07iQBSflQm+AQAAfwMAAA4AAAAAAAAAAQAgAAAAKA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EFB6746">
                    <w:pPr>
                      <w:spacing w:before="7"/>
                      <w:ind w:left="20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28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21C8A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68ABB9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D68ABB9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7FEF897">
    <w:pPr>
      <w:pStyle w:val="3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66245"/>
    <w:rsid w:val="4B880056"/>
    <w:rsid w:val="52BF0476"/>
    <w:rsid w:val="7F32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" w:cs="Times New Roman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next w:val="1"/>
    <w:unhideWhenUsed/>
    <w:qFormat/>
    <w:uiPriority w:val="99"/>
    <w:pPr>
      <w:spacing w:after="120" w:line="240" w:lineRule="auto"/>
      <w:ind w:firstLine="420" w:firstLineChars="100"/>
    </w:pPr>
    <w:rPr>
      <w:color w:val="auto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751</Words>
  <Characters>805</Characters>
  <Lines>0</Lines>
  <Paragraphs>0</Paragraphs>
  <TotalTime>0</TotalTime>
  <ScaleCrop>false</ScaleCrop>
  <LinksUpToDate>false</LinksUpToDate>
  <CharactersWithSpaces>810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2025-09-28T02:42:00Z</dcterms:created>
  <dc:creator>Administrator</dc:creator>
  <cp:lastModifiedBy> Dang .</cp:lastModifiedBy>
  <dcterms:modified xsi:type="dcterms:W3CDTF">2025-09-28T03:23:54Z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eyJoZGlkIjoiMWZiMTJiYzM4OGE4MWE4NTJmYjJlMTBhZjNmNGI0OTQiLCJ1c2VySWQiOiI0MTMzNTMwMjkifQ==</vt:lpwstr>
  </property>
  <property fmtid="{D5CDD505-2E9C-101B-9397-08002B2CF9AE}" pid="4" name="ICV">
    <vt:lpwstr>3A0B59BBB02A4CFDB6774968449E0FA6_12</vt:lpwstr>
  </property>
</Properties>
</file>