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D7C7C">
      <w:pPr>
        <w:spacing w:line="480" w:lineRule="auto"/>
        <w:ind w:firstLine="482" w:firstLineChars="200"/>
        <w:rPr>
          <w:rFonts w:hint="eastAsia" w:ascii="宋体" w:hAnsi="宋体"/>
          <w:sz w:val="24"/>
        </w:rPr>
      </w:pPr>
      <w:r>
        <w:rPr>
          <w:rFonts w:hint="eastAsia" w:ascii="宋体" w:hAnsi="宋体"/>
          <w:b/>
          <w:bCs/>
          <w:sz w:val="24"/>
        </w:rPr>
        <w:t>一、项目概况：</w:t>
      </w:r>
      <w:r>
        <w:rPr>
          <w:rFonts w:hint="eastAsia" w:ascii="宋体" w:hAnsi="宋体"/>
          <w:sz w:val="24"/>
        </w:rPr>
        <w:t>广元市利州区教育局拟通过招标确定一家合格的供应商负责广元市利州区教育局“餐餐在线”监督管理平台采购项目提供所需服务。</w:t>
      </w:r>
    </w:p>
    <w:p w14:paraId="40E4FB1C">
      <w:pPr>
        <w:spacing w:line="480" w:lineRule="auto"/>
        <w:ind w:firstLine="482" w:firstLineChars="200"/>
        <w:rPr>
          <w:rFonts w:hint="eastAsia" w:ascii="宋体" w:hAnsi="宋体"/>
          <w:b/>
          <w:bCs/>
          <w:sz w:val="24"/>
        </w:rPr>
      </w:pPr>
      <w:r>
        <w:rPr>
          <w:rFonts w:hint="eastAsia" w:ascii="宋体" w:hAnsi="宋体"/>
          <w:b/>
          <w:bCs/>
          <w:sz w:val="24"/>
        </w:rPr>
        <w:t>二、服务内容：</w:t>
      </w:r>
    </w:p>
    <w:p w14:paraId="25CABF49">
      <w:pPr>
        <w:spacing w:line="480" w:lineRule="auto"/>
        <w:ind w:firstLine="480" w:firstLineChars="200"/>
        <w:rPr>
          <w:rFonts w:ascii="宋体" w:hAnsi="宋体"/>
          <w:sz w:val="24"/>
        </w:rPr>
      </w:pPr>
      <w:r>
        <w:rPr>
          <w:rFonts w:hint="eastAsia" w:ascii="宋体" w:hAnsi="宋体"/>
          <w:sz w:val="24"/>
        </w:rPr>
        <w:t>1、主要采购内容：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4620"/>
        <w:gridCol w:w="1390"/>
        <w:gridCol w:w="1296"/>
      </w:tblGrid>
      <w:tr w14:paraId="5D20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16" w:type="dxa"/>
            <w:noWrap w:val="0"/>
            <w:vAlign w:val="center"/>
          </w:tcPr>
          <w:p w14:paraId="23C2B1EB">
            <w:pPr>
              <w:pStyle w:val="4"/>
              <w:spacing w:line="360" w:lineRule="auto"/>
              <w:jc w:val="center"/>
              <w:rPr>
                <w:rFonts w:cs="宋体"/>
                <w:sz w:val="21"/>
                <w:szCs w:val="21"/>
              </w:rPr>
            </w:pPr>
            <w:r>
              <w:rPr>
                <w:rFonts w:hint="eastAsia" w:cs="宋体"/>
                <w:sz w:val="21"/>
                <w:szCs w:val="21"/>
              </w:rPr>
              <w:t>序号</w:t>
            </w:r>
          </w:p>
        </w:tc>
        <w:tc>
          <w:tcPr>
            <w:tcW w:w="4620" w:type="dxa"/>
            <w:noWrap w:val="0"/>
            <w:vAlign w:val="center"/>
          </w:tcPr>
          <w:p w14:paraId="0D5132CB">
            <w:pPr>
              <w:pStyle w:val="4"/>
              <w:spacing w:line="360" w:lineRule="auto"/>
              <w:jc w:val="center"/>
              <w:rPr>
                <w:rFonts w:cs="宋体"/>
                <w:sz w:val="21"/>
                <w:szCs w:val="21"/>
              </w:rPr>
            </w:pPr>
            <w:r>
              <w:rPr>
                <w:rFonts w:hint="eastAsia" w:cs="宋体"/>
                <w:sz w:val="21"/>
                <w:szCs w:val="21"/>
              </w:rPr>
              <w:t>产品名称</w:t>
            </w:r>
          </w:p>
        </w:tc>
        <w:tc>
          <w:tcPr>
            <w:tcW w:w="1390" w:type="dxa"/>
            <w:noWrap w:val="0"/>
            <w:vAlign w:val="center"/>
          </w:tcPr>
          <w:p w14:paraId="3C3A7423">
            <w:pPr>
              <w:pStyle w:val="4"/>
              <w:spacing w:line="360" w:lineRule="auto"/>
              <w:jc w:val="center"/>
              <w:rPr>
                <w:rFonts w:cs="宋体"/>
                <w:sz w:val="21"/>
                <w:szCs w:val="21"/>
              </w:rPr>
            </w:pPr>
            <w:r>
              <w:rPr>
                <w:rFonts w:hint="eastAsia" w:cs="宋体"/>
                <w:sz w:val="21"/>
                <w:szCs w:val="21"/>
              </w:rPr>
              <w:t>单位</w:t>
            </w:r>
          </w:p>
        </w:tc>
        <w:tc>
          <w:tcPr>
            <w:tcW w:w="1296" w:type="dxa"/>
            <w:noWrap w:val="0"/>
            <w:vAlign w:val="center"/>
          </w:tcPr>
          <w:p w14:paraId="30E24E95">
            <w:pPr>
              <w:pStyle w:val="4"/>
              <w:spacing w:line="360" w:lineRule="auto"/>
              <w:jc w:val="center"/>
              <w:rPr>
                <w:rFonts w:cs="宋体"/>
                <w:sz w:val="21"/>
                <w:szCs w:val="21"/>
              </w:rPr>
            </w:pPr>
            <w:r>
              <w:rPr>
                <w:rFonts w:hint="eastAsia" w:cs="宋体"/>
                <w:sz w:val="21"/>
                <w:szCs w:val="21"/>
              </w:rPr>
              <w:t>数量</w:t>
            </w:r>
          </w:p>
        </w:tc>
      </w:tr>
      <w:tr w14:paraId="57A0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noWrap w:val="0"/>
            <w:vAlign w:val="center"/>
          </w:tcPr>
          <w:p w14:paraId="63082BC5">
            <w:pPr>
              <w:pStyle w:val="4"/>
              <w:spacing w:line="360" w:lineRule="auto"/>
              <w:jc w:val="center"/>
              <w:rPr>
                <w:rFonts w:cs="宋体"/>
                <w:sz w:val="21"/>
                <w:szCs w:val="21"/>
              </w:rPr>
            </w:pPr>
            <w:r>
              <w:rPr>
                <w:rFonts w:hint="eastAsia" w:cs="宋体"/>
                <w:sz w:val="21"/>
                <w:szCs w:val="21"/>
              </w:rPr>
              <w:t>1</w:t>
            </w:r>
          </w:p>
        </w:tc>
        <w:tc>
          <w:tcPr>
            <w:tcW w:w="4620" w:type="dxa"/>
            <w:noWrap w:val="0"/>
            <w:vAlign w:val="center"/>
          </w:tcPr>
          <w:p w14:paraId="2154C4FF">
            <w:pPr>
              <w:pStyle w:val="4"/>
              <w:spacing w:line="360" w:lineRule="auto"/>
              <w:jc w:val="center"/>
              <w:rPr>
                <w:rFonts w:cs="宋体"/>
                <w:sz w:val="21"/>
                <w:szCs w:val="21"/>
              </w:rPr>
            </w:pPr>
            <w:r>
              <w:rPr>
                <w:rFonts w:hint="eastAsia" w:cs="宋体"/>
                <w:sz w:val="21"/>
                <w:szCs w:val="21"/>
              </w:rPr>
              <w:t>“餐餐在线”家长端小程序</w:t>
            </w:r>
          </w:p>
        </w:tc>
        <w:tc>
          <w:tcPr>
            <w:tcW w:w="1390" w:type="dxa"/>
            <w:noWrap w:val="0"/>
            <w:vAlign w:val="center"/>
          </w:tcPr>
          <w:p w14:paraId="14111E6D">
            <w:pPr>
              <w:pStyle w:val="4"/>
              <w:spacing w:line="360" w:lineRule="auto"/>
              <w:jc w:val="center"/>
              <w:rPr>
                <w:rFonts w:cs="宋体"/>
                <w:sz w:val="21"/>
                <w:szCs w:val="21"/>
              </w:rPr>
            </w:pPr>
            <w:r>
              <w:rPr>
                <w:rFonts w:hint="eastAsia" w:cs="宋体"/>
                <w:sz w:val="21"/>
                <w:szCs w:val="21"/>
              </w:rPr>
              <w:t>套</w:t>
            </w:r>
          </w:p>
        </w:tc>
        <w:tc>
          <w:tcPr>
            <w:tcW w:w="1296" w:type="dxa"/>
            <w:noWrap w:val="0"/>
            <w:vAlign w:val="center"/>
          </w:tcPr>
          <w:p w14:paraId="3A090A3F">
            <w:pPr>
              <w:pStyle w:val="4"/>
              <w:spacing w:line="360" w:lineRule="auto"/>
              <w:jc w:val="center"/>
              <w:rPr>
                <w:rFonts w:cs="宋体"/>
                <w:sz w:val="21"/>
                <w:szCs w:val="21"/>
              </w:rPr>
            </w:pPr>
            <w:r>
              <w:rPr>
                <w:rFonts w:hint="eastAsia" w:cs="宋体"/>
                <w:sz w:val="21"/>
                <w:szCs w:val="21"/>
              </w:rPr>
              <w:t>1</w:t>
            </w:r>
          </w:p>
        </w:tc>
      </w:tr>
      <w:tr w14:paraId="68BC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noWrap w:val="0"/>
            <w:vAlign w:val="center"/>
          </w:tcPr>
          <w:p w14:paraId="1CAE3F48">
            <w:pPr>
              <w:pStyle w:val="4"/>
              <w:spacing w:line="360" w:lineRule="auto"/>
              <w:jc w:val="center"/>
              <w:rPr>
                <w:rFonts w:cs="宋体"/>
                <w:sz w:val="21"/>
                <w:szCs w:val="21"/>
              </w:rPr>
            </w:pPr>
            <w:r>
              <w:rPr>
                <w:rFonts w:hint="eastAsia" w:cs="宋体"/>
                <w:sz w:val="21"/>
                <w:szCs w:val="21"/>
              </w:rPr>
              <w:t>2</w:t>
            </w:r>
          </w:p>
        </w:tc>
        <w:tc>
          <w:tcPr>
            <w:tcW w:w="4620" w:type="dxa"/>
            <w:noWrap w:val="0"/>
            <w:vAlign w:val="center"/>
          </w:tcPr>
          <w:p w14:paraId="43A8ED80">
            <w:pPr>
              <w:pStyle w:val="4"/>
              <w:spacing w:line="360" w:lineRule="auto"/>
              <w:jc w:val="center"/>
              <w:rPr>
                <w:rFonts w:cs="宋体"/>
                <w:sz w:val="21"/>
                <w:szCs w:val="21"/>
              </w:rPr>
            </w:pPr>
            <w:r>
              <w:rPr>
                <w:rFonts w:hint="eastAsia" w:cs="宋体"/>
                <w:sz w:val="21"/>
                <w:szCs w:val="21"/>
              </w:rPr>
              <w:t>“餐餐在线”学校端</w:t>
            </w:r>
          </w:p>
        </w:tc>
        <w:tc>
          <w:tcPr>
            <w:tcW w:w="1390" w:type="dxa"/>
            <w:noWrap w:val="0"/>
            <w:vAlign w:val="center"/>
          </w:tcPr>
          <w:p w14:paraId="3B577934">
            <w:pPr>
              <w:pStyle w:val="4"/>
              <w:spacing w:line="360" w:lineRule="auto"/>
              <w:jc w:val="center"/>
              <w:rPr>
                <w:rFonts w:cs="宋体"/>
                <w:sz w:val="21"/>
                <w:szCs w:val="21"/>
              </w:rPr>
            </w:pPr>
            <w:r>
              <w:rPr>
                <w:rFonts w:hint="eastAsia" w:cs="宋体"/>
                <w:sz w:val="21"/>
                <w:szCs w:val="21"/>
              </w:rPr>
              <w:t>套</w:t>
            </w:r>
          </w:p>
        </w:tc>
        <w:tc>
          <w:tcPr>
            <w:tcW w:w="1296" w:type="dxa"/>
            <w:noWrap w:val="0"/>
            <w:vAlign w:val="center"/>
          </w:tcPr>
          <w:p w14:paraId="580370E6">
            <w:pPr>
              <w:pStyle w:val="4"/>
              <w:spacing w:line="360" w:lineRule="auto"/>
              <w:jc w:val="center"/>
              <w:rPr>
                <w:rFonts w:cs="宋体"/>
                <w:sz w:val="21"/>
                <w:szCs w:val="21"/>
              </w:rPr>
            </w:pPr>
            <w:r>
              <w:rPr>
                <w:rFonts w:hint="eastAsia" w:cs="宋体"/>
                <w:sz w:val="21"/>
                <w:szCs w:val="21"/>
              </w:rPr>
              <w:t>1</w:t>
            </w:r>
          </w:p>
        </w:tc>
      </w:tr>
      <w:tr w14:paraId="77C2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noWrap w:val="0"/>
            <w:vAlign w:val="center"/>
          </w:tcPr>
          <w:p w14:paraId="78E587B4">
            <w:pPr>
              <w:pStyle w:val="4"/>
              <w:spacing w:line="360" w:lineRule="auto"/>
              <w:jc w:val="center"/>
              <w:rPr>
                <w:rFonts w:cs="宋体"/>
                <w:sz w:val="21"/>
                <w:szCs w:val="21"/>
              </w:rPr>
            </w:pPr>
            <w:r>
              <w:rPr>
                <w:rFonts w:hint="eastAsia" w:cs="宋体"/>
                <w:sz w:val="21"/>
                <w:szCs w:val="21"/>
              </w:rPr>
              <w:t>3</w:t>
            </w:r>
          </w:p>
        </w:tc>
        <w:tc>
          <w:tcPr>
            <w:tcW w:w="4620" w:type="dxa"/>
            <w:noWrap w:val="0"/>
            <w:vAlign w:val="center"/>
          </w:tcPr>
          <w:p w14:paraId="666D16F6">
            <w:pPr>
              <w:pStyle w:val="4"/>
              <w:spacing w:line="360" w:lineRule="auto"/>
              <w:jc w:val="center"/>
              <w:rPr>
                <w:rFonts w:cs="宋体"/>
                <w:sz w:val="21"/>
                <w:szCs w:val="21"/>
              </w:rPr>
            </w:pPr>
            <w:r>
              <w:rPr>
                <w:rFonts w:hint="eastAsia" w:cs="宋体"/>
                <w:sz w:val="21"/>
                <w:szCs w:val="21"/>
              </w:rPr>
              <w:t>“餐餐在线”教育局监管端</w:t>
            </w:r>
          </w:p>
        </w:tc>
        <w:tc>
          <w:tcPr>
            <w:tcW w:w="1390" w:type="dxa"/>
            <w:noWrap w:val="0"/>
            <w:vAlign w:val="center"/>
          </w:tcPr>
          <w:p w14:paraId="3BA70554">
            <w:pPr>
              <w:pStyle w:val="4"/>
              <w:spacing w:line="360" w:lineRule="auto"/>
              <w:jc w:val="center"/>
              <w:rPr>
                <w:rFonts w:cs="宋体"/>
                <w:sz w:val="21"/>
                <w:szCs w:val="21"/>
              </w:rPr>
            </w:pPr>
            <w:r>
              <w:rPr>
                <w:rFonts w:hint="eastAsia" w:cs="宋体"/>
                <w:sz w:val="21"/>
                <w:szCs w:val="21"/>
              </w:rPr>
              <w:t>套</w:t>
            </w:r>
          </w:p>
        </w:tc>
        <w:tc>
          <w:tcPr>
            <w:tcW w:w="1296" w:type="dxa"/>
            <w:noWrap w:val="0"/>
            <w:vAlign w:val="center"/>
          </w:tcPr>
          <w:p w14:paraId="4FEDCD02">
            <w:pPr>
              <w:pStyle w:val="4"/>
              <w:spacing w:line="360" w:lineRule="auto"/>
              <w:jc w:val="center"/>
              <w:rPr>
                <w:rFonts w:cs="宋体"/>
                <w:sz w:val="21"/>
                <w:szCs w:val="21"/>
              </w:rPr>
            </w:pPr>
            <w:r>
              <w:rPr>
                <w:rFonts w:hint="eastAsia" w:cs="宋体"/>
                <w:sz w:val="21"/>
                <w:szCs w:val="21"/>
              </w:rPr>
              <w:t>1</w:t>
            </w:r>
          </w:p>
        </w:tc>
      </w:tr>
    </w:tbl>
    <w:p w14:paraId="6C24A725">
      <w:pPr>
        <w:spacing w:line="480" w:lineRule="auto"/>
        <w:ind w:firstLine="480" w:firstLineChars="200"/>
        <w:rPr>
          <w:rFonts w:hint="eastAsia" w:ascii="宋体" w:hAnsi="宋体"/>
          <w:sz w:val="24"/>
        </w:rPr>
      </w:pPr>
    </w:p>
    <w:p w14:paraId="4640B9E0">
      <w:pPr>
        <w:spacing w:line="480" w:lineRule="auto"/>
        <w:ind w:firstLine="480" w:firstLineChars="200"/>
        <w:rPr>
          <w:rFonts w:ascii="宋体" w:hAnsi="宋体"/>
          <w:b/>
          <w:bCs/>
          <w:sz w:val="24"/>
        </w:rPr>
      </w:pPr>
      <w:r>
        <w:rPr>
          <w:rFonts w:hint="eastAsia" w:ascii="宋体" w:hAnsi="宋体"/>
          <w:sz w:val="24"/>
        </w:rPr>
        <w:t>2、具体服务内容及配置要求：</w:t>
      </w:r>
      <w:r>
        <w:rPr>
          <w:rFonts w:hint="eastAsia" w:ascii="宋体" w:hAnsi="宋体"/>
          <w:b/>
          <w:bCs/>
          <w:sz w:val="24"/>
        </w:rPr>
        <w:t xml:space="preserve"> </w:t>
      </w:r>
    </w:p>
    <w:tbl>
      <w:tblPr>
        <w:tblStyle w:val="5"/>
        <w:tblW w:w="8810"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550"/>
        <w:gridCol w:w="6530"/>
      </w:tblGrid>
      <w:tr w14:paraId="334E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30" w:type="dxa"/>
            <w:noWrap w:val="0"/>
            <w:vAlign w:val="center"/>
          </w:tcPr>
          <w:p w14:paraId="354AEDD1">
            <w:pPr>
              <w:pStyle w:val="4"/>
              <w:spacing w:line="360" w:lineRule="auto"/>
              <w:jc w:val="center"/>
              <w:rPr>
                <w:rFonts w:cs="宋体"/>
                <w:sz w:val="21"/>
                <w:szCs w:val="21"/>
              </w:rPr>
            </w:pPr>
            <w:r>
              <w:rPr>
                <w:rFonts w:hint="eastAsia" w:cs="宋体"/>
                <w:sz w:val="21"/>
                <w:szCs w:val="21"/>
              </w:rPr>
              <w:t>序号</w:t>
            </w:r>
          </w:p>
        </w:tc>
        <w:tc>
          <w:tcPr>
            <w:tcW w:w="1550" w:type="dxa"/>
            <w:noWrap w:val="0"/>
            <w:vAlign w:val="center"/>
          </w:tcPr>
          <w:p w14:paraId="127A74D5">
            <w:pPr>
              <w:pStyle w:val="4"/>
              <w:spacing w:line="360" w:lineRule="auto"/>
              <w:jc w:val="center"/>
              <w:rPr>
                <w:rFonts w:cs="宋体"/>
                <w:sz w:val="21"/>
                <w:szCs w:val="21"/>
              </w:rPr>
            </w:pPr>
            <w:r>
              <w:rPr>
                <w:rFonts w:hint="eastAsia" w:cs="宋体"/>
                <w:sz w:val="21"/>
                <w:szCs w:val="21"/>
              </w:rPr>
              <w:t>产品名称</w:t>
            </w:r>
          </w:p>
        </w:tc>
        <w:tc>
          <w:tcPr>
            <w:tcW w:w="6530" w:type="dxa"/>
            <w:noWrap w:val="0"/>
            <w:vAlign w:val="center"/>
          </w:tcPr>
          <w:p w14:paraId="41C4F7B9">
            <w:pPr>
              <w:pStyle w:val="4"/>
              <w:spacing w:line="360" w:lineRule="auto"/>
              <w:jc w:val="center"/>
              <w:rPr>
                <w:rFonts w:cs="宋体"/>
                <w:sz w:val="21"/>
                <w:szCs w:val="21"/>
              </w:rPr>
            </w:pPr>
            <w:r>
              <w:rPr>
                <w:rFonts w:hint="eastAsia" w:cs="宋体"/>
                <w:sz w:val="21"/>
                <w:szCs w:val="21"/>
              </w:rPr>
              <w:t>配置及要求</w:t>
            </w:r>
          </w:p>
        </w:tc>
      </w:tr>
      <w:tr w14:paraId="2CA7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0" w:type="dxa"/>
            <w:noWrap w:val="0"/>
            <w:vAlign w:val="top"/>
          </w:tcPr>
          <w:p w14:paraId="33043735">
            <w:pPr>
              <w:pStyle w:val="4"/>
              <w:spacing w:line="360" w:lineRule="auto"/>
              <w:jc w:val="both"/>
              <w:rPr>
                <w:rFonts w:cs="宋体"/>
                <w:sz w:val="21"/>
                <w:szCs w:val="21"/>
              </w:rPr>
            </w:pPr>
          </w:p>
          <w:p w14:paraId="3B5EC915">
            <w:pPr>
              <w:pStyle w:val="4"/>
              <w:spacing w:line="360" w:lineRule="auto"/>
              <w:jc w:val="both"/>
              <w:rPr>
                <w:rFonts w:cs="宋体"/>
                <w:sz w:val="21"/>
                <w:szCs w:val="21"/>
              </w:rPr>
            </w:pPr>
          </w:p>
          <w:p w14:paraId="51C88566">
            <w:pPr>
              <w:pStyle w:val="4"/>
              <w:spacing w:line="360" w:lineRule="auto"/>
              <w:jc w:val="both"/>
              <w:rPr>
                <w:rFonts w:cs="宋体"/>
                <w:sz w:val="21"/>
                <w:szCs w:val="21"/>
              </w:rPr>
            </w:pPr>
          </w:p>
          <w:p w14:paraId="6DA5B405">
            <w:pPr>
              <w:pStyle w:val="4"/>
              <w:spacing w:line="360" w:lineRule="auto"/>
              <w:jc w:val="both"/>
              <w:rPr>
                <w:rFonts w:cs="宋体"/>
                <w:sz w:val="21"/>
                <w:szCs w:val="21"/>
              </w:rPr>
            </w:pPr>
          </w:p>
          <w:p w14:paraId="5F2595FC">
            <w:pPr>
              <w:pStyle w:val="4"/>
              <w:spacing w:line="360" w:lineRule="auto"/>
              <w:ind w:firstLine="210" w:firstLineChars="100"/>
              <w:jc w:val="both"/>
              <w:rPr>
                <w:rFonts w:cs="宋体"/>
                <w:sz w:val="21"/>
                <w:szCs w:val="21"/>
              </w:rPr>
            </w:pPr>
            <w:r>
              <w:rPr>
                <w:rFonts w:hint="eastAsia" w:cs="宋体"/>
                <w:sz w:val="21"/>
                <w:szCs w:val="21"/>
              </w:rPr>
              <w:t>1</w:t>
            </w:r>
          </w:p>
        </w:tc>
        <w:tc>
          <w:tcPr>
            <w:tcW w:w="1550" w:type="dxa"/>
            <w:noWrap w:val="0"/>
            <w:vAlign w:val="center"/>
          </w:tcPr>
          <w:p w14:paraId="5C5A6D3D">
            <w:r>
              <w:rPr>
                <w:rFonts w:hint="eastAsia"/>
              </w:rPr>
              <w:t>“餐餐在线”</w:t>
            </w:r>
          </w:p>
          <w:p w14:paraId="643BDDB2">
            <w:pPr>
              <w:rPr>
                <w:rFonts w:ascii="宋体" w:hAnsi="宋体" w:cs="宋体"/>
              </w:rPr>
            </w:pPr>
            <w:r>
              <w:rPr>
                <w:rFonts w:hint="eastAsia"/>
              </w:rPr>
              <w:t>家长端小程序</w:t>
            </w:r>
          </w:p>
        </w:tc>
        <w:tc>
          <w:tcPr>
            <w:tcW w:w="6530" w:type="dxa"/>
            <w:noWrap w:val="0"/>
            <w:vAlign w:val="center"/>
          </w:tcPr>
          <w:p w14:paraId="3CEF0965">
            <w:pPr>
              <w:spacing w:line="360" w:lineRule="auto"/>
              <w:rPr>
                <w:rFonts w:ascii="宋体" w:hAnsi="宋体" w:cs="宋体"/>
              </w:rPr>
            </w:pPr>
            <w:r>
              <w:rPr>
                <w:rFonts w:hint="eastAsia" w:ascii="宋体" w:hAnsi="宋体" w:cs="宋体"/>
              </w:rPr>
              <w:t>1.餐饮健康服务：可查看与餐饮健康相关的推文，数据来源于“餐餐在线”学校端。</w:t>
            </w:r>
          </w:p>
          <w:p w14:paraId="2955681A">
            <w:pPr>
              <w:spacing w:line="360" w:lineRule="auto"/>
              <w:rPr>
                <w:rFonts w:ascii="宋体" w:hAnsi="宋体" w:cs="宋体"/>
              </w:rPr>
            </w:pPr>
            <w:r>
              <w:rPr>
                <w:rFonts w:hint="eastAsia" w:ascii="宋体" w:hAnsi="宋体" w:cs="宋体"/>
              </w:rPr>
              <w:t>2.教育信息公示服务：可查看教育信息公示相关的推文，数据来源于“餐餐在线”学校端。</w:t>
            </w:r>
          </w:p>
          <w:p w14:paraId="7ECB846F">
            <w:pPr>
              <w:spacing w:line="360" w:lineRule="auto"/>
              <w:rPr>
                <w:rFonts w:ascii="宋体" w:hAnsi="宋体" w:cs="宋体"/>
              </w:rPr>
            </w:pPr>
            <w:r>
              <w:rPr>
                <w:rFonts w:hint="eastAsia" w:ascii="宋体" w:hAnsi="宋体" w:cs="宋体"/>
              </w:rPr>
              <w:t>3.每日菜品信息服务：可查看学校每日菜品信息，按餐次显示菜品信息及菜品真实图片，便于家长了解学生在校当日三餐情况，数据来源于利州区教育局学校食堂食品安全智能化管理平台（以下简称：利州区食安平台）。</w:t>
            </w:r>
          </w:p>
          <w:p w14:paraId="196A0DD5">
            <w:pPr>
              <w:spacing w:line="360" w:lineRule="auto"/>
              <w:rPr>
                <w:rFonts w:ascii="宋体" w:hAnsi="宋体" w:cs="宋体"/>
              </w:rPr>
            </w:pPr>
            <w:r>
              <w:rPr>
                <w:rFonts w:hint="eastAsia" w:ascii="宋体" w:hAnsi="宋体" w:cs="宋体"/>
              </w:rPr>
              <w:t>4.食安风采信息服务：家长可以查看食堂的日常工作过程影像，包括但不限于餐厅的卫生状况、厨房操作等，确保食堂的日常运营符合食品卫生和安全标准，数据来源于“餐餐在线”学校端。</w:t>
            </w:r>
          </w:p>
          <w:p w14:paraId="22720504">
            <w:pPr>
              <w:spacing w:line="360" w:lineRule="auto"/>
              <w:rPr>
                <w:rFonts w:ascii="宋体" w:hAnsi="宋体" w:cs="宋体"/>
              </w:rPr>
            </w:pPr>
            <w:r>
              <w:rPr>
                <w:rFonts w:hint="eastAsia" w:ascii="宋体" w:hAnsi="宋体" w:cs="宋体"/>
              </w:rPr>
              <w:t>5.食材验收信息服务：家长能够查看学校食堂食材验收环节的影像，了解食材来源和验收过程，确保食材符合卫生要求，数据来源于利州区食安平台。</w:t>
            </w:r>
          </w:p>
          <w:p w14:paraId="030B910F">
            <w:pPr>
              <w:tabs>
                <w:tab w:val="left" w:pos="312"/>
              </w:tabs>
              <w:spacing w:line="360" w:lineRule="auto"/>
              <w:rPr>
                <w:rFonts w:ascii="宋体" w:hAnsi="宋体" w:cs="宋体"/>
              </w:rPr>
            </w:pPr>
            <w:r>
              <w:rPr>
                <w:rFonts w:hint="eastAsia" w:ascii="宋体" w:hAnsi="宋体" w:cs="宋体"/>
                <w:lang w:val="zh-CN"/>
              </w:rPr>
              <w:t>▲6.</w:t>
            </w:r>
            <w:r>
              <w:rPr>
                <w:rFonts w:hint="eastAsia" w:ascii="宋体" w:hAnsi="宋体" w:cs="宋体"/>
              </w:rPr>
              <w:t>票证公示信息服务：家长可以查看食堂采购的肉类食材的检验检疫合格证影像，确保肉类食品符合食品安全要求，数据来源于利州区食安平台。（提供相关证明材料加盖供应商）</w:t>
            </w:r>
          </w:p>
          <w:p w14:paraId="10E1B430">
            <w:pPr>
              <w:tabs>
                <w:tab w:val="left" w:pos="312"/>
              </w:tabs>
              <w:spacing w:line="360" w:lineRule="auto"/>
              <w:rPr>
                <w:rFonts w:ascii="宋体" w:hAnsi="宋体" w:cs="宋体"/>
              </w:rPr>
            </w:pPr>
            <w:r>
              <w:rPr>
                <w:rFonts w:hint="eastAsia" w:ascii="宋体" w:hAnsi="宋体" w:cs="宋体"/>
                <w:lang w:val="zh-CN"/>
              </w:rPr>
              <w:t>▲7.</w:t>
            </w:r>
            <w:r>
              <w:rPr>
                <w:rFonts w:hint="eastAsia" w:ascii="宋体" w:hAnsi="宋体" w:cs="宋体"/>
              </w:rPr>
              <w:t>投诉建议服务：家长可以通过小程序对学校食堂的菜品信息、食品安全、就餐环境等方面提出投诉与建议，学校相关人员可以查看并及时处理。（提供相关证明材料加盖供应商现在）</w:t>
            </w:r>
          </w:p>
          <w:p w14:paraId="6B252199">
            <w:pPr>
              <w:tabs>
                <w:tab w:val="left" w:pos="312"/>
              </w:tabs>
              <w:spacing w:line="360" w:lineRule="auto"/>
              <w:rPr>
                <w:rFonts w:ascii="宋体" w:hAnsi="宋体" w:cs="宋体"/>
                <w:szCs w:val="21"/>
              </w:rPr>
            </w:pPr>
            <w:r>
              <w:rPr>
                <w:rFonts w:hint="eastAsia" w:ascii="宋体" w:hAnsi="宋体" w:cs="宋体"/>
                <w:lang w:val="zh-CN"/>
              </w:rPr>
              <w:t>▲8.</w:t>
            </w:r>
            <w:r>
              <w:rPr>
                <w:rFonts w:hint="eastAsia" w:ascii="宋体" w:hAnsi="宋体" w:cs="宋体"/>
              </w:rPr>
              <w:t>月度接待服务：家长可以申请参与每月的食堂参观活动，了解食堂的卫生环境、食品管理流程等，提升家长对学校餐饮的信任。（提供相关证明材料加盖供应商现在）</w:t>
            </w:r>
          </w:p>
        </w:tc>
      </w:tr>
      <w:tr w14:paraId="7593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14:paraId="4C5465E5">
            <w:pPr>
              <w:pStyle w:val="4"/>
              <w:spacing w:line="360" w:lineRule="auto"/>
              <w:jc w:val="center"/>
              <w:rPr>
                <w:rFonts w:cs="宋体"/>
                <w:sz w:val="21"/>
                <w:szCs w:val="21"/>
              </w:rPr>
            </w:pPr>
            <w:r>
              <w:rPr>
                <w:rFonts w:hint="eastAsia" w:cs="宋体"/>
                <w:sz w:val="21"/>
                <w:szCs w:val="21"/>
              </w:rPr>
              <w:t>2</w:t>
            </w:r>
          </w:p>
        </w:tc>
        <w:tc>
          <w:tcPr>
            <w:tcW w:w="1550" w:type="dxa"/>
            <w:noWrap w:val="0"/>
            <w:vAlign w:val="center"/>
          </w:tcPr>
          <w:p w14:paraId="07681770">
            <w:pPr>
              <w:jc w:val="center"/>
              <w:rPr>
                <w:rFonts w:ascii="宋体" w:hAnsi="宋体" w:cs="宋体"/>
              </w:rPr>
            </w:pPr>
            <w:r>
              <w:rPr>
                <w:rFonts w:hint="eastAsia"/>
              </w:rPr>
              <w:t>“餐餐在线”学校端</w:t>
            </w:r>
          </w:p>
        </w:tc>
        <w:tc>
          <w:tcPr>
            <w:tcW w:w="6530" w:type="dxa"/>
            <w:noWrap w:val="0"/>
            <w:vAlign w:val="top"/>
          </w:tcPr>
          <w:p w14:paraId="1C8BCEFD">
            <w:pPr>
              <w:numPr>
                <w:ilvl w:val="0"/>
                <w:numId w:val="1"/>
              </w:numPr>
              <w:spacing w:line="360" w:lineRule="auto"/>
              <w:rPr>
                <w:rFonts w:ascii="宋体" w:hAnsi="宋体" w:cs="宋体"/>
              </w:rPr>
            </w:pPr>
            <w:r>
              <w:rPr>
                <w:rFonts w:hint="eastAsia" w:ascii="宋体" w:hAnsi="宋体" w:cs="宋体"/>
              </w:rPr>
              <w:t>用户信息管理：负责系统内各类用户的注册、权限分配、账户管理等功能。管理员可以创建和管理不同角色的用户，如食堂管理人员、家长、学校工作人员等，并根据需要分配相应的操作权限。此模块支持用户信息查看、编辑、删除，以及用户登录日志记录。通过严格的权限控制，确保各用户只能访问和操作自己权限范围内的功能和数据，从而保障系统安全与数据隐私。</w:t>
            </w:r>
          </w:p>
          <w:p w14:paraId="6CFC4E8B">
            <w:pPr>
              <w:numPr>
                <w:ilvl w:val="0"/>
                <w:numId w:val="1"/>
              </w:numPr>
              <w:spacing w:line="360" w:lineRule="auto"/>
              <w:rPr>
                <w:rFonts w:ascii="宋体" w:hAnsi="宋体" w:cs="宋体"/>
              </w:rPr>
            </w:pPr>
            <w:r>
              <w:rPr>
                <w:rFonts w:hint="eastAsia" w:ascii="宋体" w:hAnsi="宋体" w:cs="宋体"/>
              </w:rPr>
              <w:t>学校食堂基本信息：维护学校和食堂基本信息，便于创建相应的账号。</w:t>
            </w:r>
          </w:p>
          <w:p w14:paraId="1E834D6C">
            <w:pPr>
              <w:numPr>
                <w:ilvl w:val="0"/>
                <w:numId w:val="1"/>
              </w:numPr>
              <w:spacing w:line="360" w:lineRule="auto"/>
              <w:rPr>
                <w:rFonts w:ascii="宋体" w:hAnsi="宋体" w:cs="宋体"/>
              </w:rPr>
            </w:pPr>
            <w:r>
              <w:rPr>
                <w:rFonts w:hint="eastAsia" w:ascii="宋体" w:hAnsi="宋体" w:cs="宋体"/>
              </w:rPr>
              <w:t>数据统计与分析：聚焦于对学校食堂各项运营数据的汇总与分析。系统通过自动采集各类数据，如菜谱上传情况、食材验收情况、家长投诉建议、访问流量等，生成各类统计报表和趋势分析图表。管理员可以根据这些数据监控食堂的运营状况、家长的参与度以及食品安全等问题，提供数据支持以优化管理决策。此模块支持按日、月、年等不同时间维度进行数据展示，便于对比分析。</w:t>
            </w:r>
          </w:p>
          <w:p w14:paraId="7B0C214D">
            <w:pPr>
              <w:numPr>
                <w:ilvl w:val="0"/>
                <w:numId w:val="1"/>
              </w:numPr>
              <w:spacing w:line="360" w:lineRule="auto"/>
              <w:rPr>
                <w:rFonts w:ascii="宋体" w:hAnsi="宋体" w:cs="宋体"/>
              </w:rPr>
            </w:pPr>
            <w:r>
              <w:rPr>
                <w:rFonts w:hint="eastAsia" w:ascii="宋体" w:hAnsi="宋体" w:cs="宋体"/>
              </w:rPr>
              <w:t>食材验收管理：系统记录食材的供应商信息、采购数量、验收情况等数据，确保食材的来源和质量可追溯。管理员可以实时查看食材的存储状态，自动提醒食材的过期和采购需求。通过有效管理食材的全生命周期，避免浪费并确保食品安全，食材验收数据来源于利州区食安平台。</w:t>
            </w:r>
          </w:p>
          <w:p w14:paraId="5AD2EC67">
            <w:pPr>
              <w:numPr>
                <w:ilvl w:val="0"/>
                <w:numId w:val="1"/>
              </w:numPr>
              <w:spacing w:line="360" w:lineRule="auto"/>
              <w:rPr>
                <w:rFonts w:ascii="宋体" w:hAnsi="宋体" w:cs="宋体"/>
              </w:rPr>
            </w:pPr>
            <w:r>
              <w:rPr>
                <w:rFonts w:hint="eastAsia" w:ascii="宋体" w:hAnsi="宋体" w:cs="宋体"/>
              </w:rPr>
              <w:t>每日菜品管理：每日菜品数据来源于利州区食安平台，支持统计家长端针对每日菜品点评受欢迎程度、最喜欢菜品和最不喜欢菜品、评价等，帮助学校优化菜谱设计。</w:t>
            </w:r>
          </w:p>
          <w:p w14:paraId="53A6E74D">
            <w:pPr>
              <w:numPr>
                <w:ilvl w:val="0"/>
                <w:numId w:val="1"/>
              </w:numPr>
              <w:spacing w:line="360" w:lineRule="auto"/>
              <w:rPr>
                <w:rFonts w:ascii="宋体" w:hAnsi="宋体" w:cs="宋体"/>
              </w:rPr>
            </w:pPr>
            <w:r>
              <w:rPr>
                <w:rFonts w:hint="eastAsia" w:ascii="宋体" w:hAnsi="宋体" w:cs="宋体"/>
              </w:rPr>
              <w:t>投诉建议管理：家长可通过餐餐在线家长端提交对食堂管理、食堂服务、食堂菜品等方面的反馈，管理员可以在后台查看投诉的详细信息，分析问题类型，并安排处理人员跟进。该模块支持反馈的分类、优先级设置和处理进度追踪，确保每个投诉都得到及时回应并解决。系统还提供统计功能，帮助学校识别常见问题，改进服务质量。</w:t>
            </w:r>
          </w:p>
          <w:p w14:paraId="1F2DF146">
            <w:pPr>
              <w:numPr>
                <w:ilvl w:val="0"/>
                <w:numId w:val="1"/>
              </w:numPr>
              <w:spacing w:line="360" w:lineRule="auto"/>
              <w:rPr>
                <w:rFonts w:ascii="宋体" w:hAnsi="宋体" w:cs="宋体"/>
              </w:rPr>
            </w:pPr>
            <w:r>
              <w:rPr>
                <w:rFonts w:hint="eastAsia" w:ascii="宋体" w:hAnsi="宋体" w:cs="宋体"/>
              </w:rPr>
              <w:t>资讯服务管理：该模块可对相关资讯服务内容进行维护管理，包含：健康餐饮信息服务、教育信息公示服务等。</w:t>
            </w:r>
          </w:p>
          <w:p w14:paraId="5A97FC04">
            <w:pPr>
              <w:numPr>
                <w:ilvl w:val="0"/>
                <w:numId w:val="1"/>
              </w:numPr>
              <w:spacing w:line="360" w:lineRule="auto"/>
              <w:rPr>
                <w:rFonts w:ascii="宋体" w:hAnsi="宋体" w:cs="宋体"/>
              </w:rPr>
            </w:pPr>
            <w:r>
              <w:rPr>
                <w:rFonts w:hint="eastAsia" w:ascii="宋体" w:hAnsi="宋体" w:cs="宋体"/>
              </w:rPr>
              <w:t>食安风采管理：支持维护食堂日常工作过程影像，包括餐厅的卫生状况、厨房操作等，确保食堂的日常运营符合食品卫生和安全标准。</w:t>
            </w:r>
          </w:p>
          <w:p w14:paraId="3EA3FAA0">
            <w:pPr>
              <w:numPr>
                <w:ilvl w:val="0"/>
                <w:numId w:val="1"/>
              </w:numPr>
              <w:spacing w:line="360" w:lineRule="auto"/>
              <w:rPr>
                <w:rFonts w:ascii="宋体" w:hAnsi="宋体" w:cs="宋体"/>
              </w:rPr>
            </w:pPr>
            <w:r>
              <w:rPr>
                <w:rFonts w:hint="eastAsia" w:ascii="宋体" w:hAnsi="宋体" w:cs="宋体"/>
              </w:rPr>
              <w:t>票证公示管理：支持维护食堂采购的肉类食材的检验合格证影像，确保肉类食品符合食品安全要求，采购食材及票证数据来源于利州区食安平台。</w:t>
            </w:r>
          </w:p>
          <w:p w14:paraId="6657FF34">
            <w:pPr>
              <w:numPr>
                <w:ilvl w:val="0"/>
                <w:numId w:val="1"/>
              </w:numPr>
              <w:spacing w:line="360" w:lineRule="auto"/>
              <w:rPr>
                <w:rFonts w:ascii="宋体" w:hAnsi="宋体" w:cs="宋体"/>
              </w:rPr>
            </w:pPr>
            <w:r>
              <w:rPr>
                <w:rFonts w:hint="eastAsia" w:ascii="宋体" w:hAnsi="宋体" w:cs="宋体"/>
              </w:rPr>
              <w:t>健康饮食推荐管理：支持维护孩子在学校食堂的就餐记录，记录孩子每天的饮食情况和食堂菜单。</w:t>
            </w:r>
          </w:p>
          <w:p w14:paraId="2E1B3441">
            <w:pPr>
              <w:numPr>
                <w:ilvl w:val="0"/>
                <w:numId w:val="1"/>
              </w:numPr>
              <w:spacing w:line="360" w:lineRule="auto"/>
              <w:rPr>
                <w:rFonts w:ascii="宋体" w:hAnsi="宋体" w:cs="宋体"/>
              </w:rPr>
            </w:pPr>
            <w:r>
              <w:rPr>
                <w:rFonts w:hint="eastAsia" w:ascii="宋体" w:hAnsi="宋体" w:cs="宋体"/>
              </w:rPr>
              <w:t>安全与权限控制：安全与权限控制模块是后台管理系统的核心之一，负责对系统的安全性进行管理和监控。管理员可以设置不同用户的访问权限，确保不同角色只能访问其授权的功能区域。该模块提供日志管理功能，记录所有用户的操作行为，确保系统安全性。系统还支持密码强度检查、登录保护等功能，防止未授权访问。此模块是保障系统数据安全和隐私的基础设施。</w:t>
            </w:r>
          </w:p>
          <w:p w14:paraId="602E723E">
            <w:pPr>
              <w:numPr>
                <w:ilvl w:val="0"/>
                <w:numId w:val="1"/>
              </w:numPr>
              <w:spacing w:line="360" w:lineRule="auto"/>
              <w:rPr>
                <w:rFonts w:ascii="宋体" w:hAnsi="宋体" w:cs="宋体"/>
                <w:szCs w:val="21"/>
              </w:rPr>
            </w:pPr>
            <w:r>
              <w:rPr>
                <w:rFonts w:hint="eastAsia" w:ascii="宋体" w:hAnsi="宋体" w:cs="宋体"/>
              </w:rPr>
              <w:t>系统配置管理：系统设置模块负责系统的基本配置和定制化设置，包括公示内容、通知设置、数据同步等。管理员可以根据学校的需求调整系统参数，进行个性化配置。此模块还提供系统操作日志，允许管理员向家长和工作人员发布公告、提醒等信息。通过该模块，学校可以快速适应不同环境的需求，并对系统进行灵活配置，以提升管理效率。</w:t>
            </w:r>
          </w:p>
        </w:tc>
      </w:tr>
      <w:tr w14:paraId="5D79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14:paraId="16496CA8">
            <w:pPr>
              <w:jc w:val="center"/>
              <w:rPr>
                <w:rFonts w:ascii="宋体" w:hAnsi="宋体" w:cs="宋体"/>
                <w:szCs w:val="21"/>
              </w:rPr>
            </w:pPr>
            <w:r>
              <w:rPr>
                <w:rFonts w:hint="eastAsia" w:ascii="宋体" w:hAnsi="宋体" w:cs="宋体"/>
                <w:szCs w:val="21"/>
              </w:rPr>
              <w:t>3</w:t>
            </w:r>
          </w:p>
        </w:tc>
        <w:tc>
          <w:tcPr>
            <w:tcW w:w="1550" w:type="dxa"/>
            <w:noWrap w:val="0"/>
            <w:vAlign w:val="center"/>
          </w:tcPr>
          <w:p w14:paraId="757F0490">
            <w:pPr>
              <w:jc w:val="center"/>
              <w:rPr>
                <w:rFonts w:ascii="宋体" w:hAnsi="宋体" w:cs="宋体"/>
              </w:rPr>
            </w:pPr>
            <w:r>
              <w:rPr>
                <w:rFonts w:hint="eastAsia" w:ascii="宋体" w:hAnsi="宋体" w:cs="宋体"/>
              </w:rPr>
              <w:t>“餐餐在线”教育局监管端</w:t>
            </w:r>
          </w:p>
        </w:tc>
        <w:tc>
          <w:tcPr>
            <w:tcW w:w="6530" w:type="dxa"/>
            <w:noWrap w:val="0"/>
            <w:vAlign w:val="top"/>
          </w:tcPr>
          <w:p w14:paraId="7F091AB3">
            <w:pPr>
              <w:numPr>
                <w:ilvl w:val="0"/>
                <w:numId w:val="2"/>
              </w:numPr>
              <w:spacing w:line="360" w:lineRule="auto"/>
              <w:rPr>
                <w:rFonts w:ascii="宋体" w:hAnsi="宋体" w:cs="宋体"/>
              </w:rPr>
            </w:pPr>
            <w:r>
              <w:rPr>
                <w:rFonts w:hint="eastAsia" w:ascii="宋体" w:hAnsi="宋体" w:cs="宋体"/>
              </w:rPr>
              <w:t>每日菜品监管：该模块统计并显示学校食堂每日菜谱的图片及菜品上传情况，确保每餐的菜品及图像按时上传，监管人员可随时查看是否存在遗漏或延迟上传情况。家长通过小程序可以实时查看菜品图片，确保餐食透明化和可追溯性。</w:t>
            </w:r>
          </w:p>
          <w:p w14:paraId="7A4D553B">
            <w:pPr>
              <w:numPr>
                <w:ilvl w:val="0"/>
                <w:numId w:val="2"/>
              </w:numPr>
              <w:spacing w:line="360" w:lineRule="auto"/>
              <w:rPr>
                <w:rFonts w:ascii="宋体" w:hAnsi="宋体" w:cs="宋体"/>
              </w:rPr>
            </w:pPr>
            <w:r>
              <w:rPr>
                <w:rFonts w:hint="eastAsia" w:ascii="宋体" w:hAnsi="宋体" w:cs="宋体"/>
              </w:rPr>
              <w:t>食材验收监管：该模块统计学校食堂每日食材验收的上传情况，确保所有食材都符合规定的验收流程。监管人员可通过此模块查看食材验收环节是否符合标准，并追溯每批食材的来源与质量。家长也可以通过小程序查看食材验收的相关照片，确保食材的安全性与来源透明。</w:t>
            </w:r>
          </w:p>
          <w:p w14:paraId="4729A0AE">
            <w:pPr>
              <w:numPr>
                <w:ilvl w:val="0"/>
                <w:numId w:val="2"/>
              </w:numPr>
              <w:spacing w:line="360" w:lineRule="auto"/>
              <w:rPr>
                <w:rFonts w:ascii="宋体" w:hAnsi="宋体" w:cs="宋体"/>
              </w:rPr>
            </w:pPr>
            <w:r>
              <w:rPr>
                <w:rFonts w:hint="eastAsia" w:ascii="宋体" w:hAnsi="宋体" w:cs="宋体"/>
              </w:rPr>
              <w:t>资讯服务监管：该模块统计学校食堂食安资讯上传情况，监管人员可根据上传的数据进行分析，发现潜在的卫生安全问题并及时进行干预，增强对食堂食品安全管理的信任。</w:t>
            </w:r>
          </w:p>
          <w:p w14:paraId="53A6892E">
            <w:pPr>
              <w:numPr>
                <w:ilvl w:val="0"/>
                <w:numId w:val="2"/>
              </w:numPr>
              <w:spacing w:line="360" w:lineRule="auto"/>
              <w:rPr>
                <w:rFonts w:ascii="宋体" w:hAnsi="宋体" w:cs="宋体"/>
              </w:rPr>
            </w:pPr>
            <w:r>
              <w:rPr>
                <w:rFonts w:hint="eastAsia" w:ascii="宋体" w:hAnsi="宋体" w:cs="宋体"/>
              </w:rPr>
              <w:t>票证公示监管：该模块负责统计学校食堂每次肉类采购时上传的检验合格证情况，确保每批肉类食材符合食品安全标准。系统将记录肉类检验合格证的上传时间和有效性，并生成相关统计报表。监管人员可以随时查看每次肉类检验的合规情况，确保肉类来源的可追溯性。</w:t>
            </w:r>
          </w:p>
          <w:p w14:paraId="519CB3F3">
            <w:pPr>
              <w:numPr>
                <w:ilvl w:val="0"/>
                <w:numId w:val="2"/>
              </w:numPr>
              <w:spacing w:line="360" w:lineRule="auto"/>
              <w:rPr>
                <w:rFonts w:ascii="宋体" w:hAnsi="宋体" w:cs="宋体"/>
              </w:rPr>
            </w:pPr>
            <w:r>
              <w:rPr>
                <w:rFonts w:hint="eastAsia" w:ascii="宋体" w:hAnsi="宋体" w:cs="宋体"/>
              </w:rPr>
              <w:t>家长访问流量监管：该模块用于记录和分析家长在小程序中的访问行为，包括访问频次、时长和浏览的模块。系统自动收集访问数据，并通过图表展示家长活跃度、关注的功能模块等。监管人员可以分析家长对不同模块的关注重点，及时调整监管策略。通过流量分析，帮助学校了解家长的需求，优化家长端程序，提升家长端使用体验。</w:t>
            </w:r>
          </w:p>
          <w:p w14:paraId="3FD30E75">
            <w:pPr>
              <w:numPr>
                <w:ilvl w:val="0"/>
                <w:numId w:val="2"/>
              </w:numPr>
              <w:spacing w:line="360" w:lineRule="auto"/>
              <w:rPr>
                <w:rFonts w:ascii="宋体" w:hAnsi="宋体" w:cs="宋体"/>
                <w:szCs w:val="21"/>
              </w:rPr>
            </w:pPr>
            <w:r>
              <w:rPr>
                <w:rFonts w:hint="eastAsia" w:ascii="宋体" w:hAnsi="宋体" w:cs="宋体"/>
              </w:rPr>
              <w:t>投诉建议监管：此模块用于统计家长通过小程序提交的投诉建议，分析投诉的类型、数量和处理进度。系统会根据投诉的类别生成统计图表，帮助监管人员及时发现食堂管理中存在的问题。管理员可以查看每个投诉的处理状态并进行跟踪，确保每个问题得到及时反馈。</w:t>
            </w:r>
          </w:p>
        </w:tc>
      </w:tr>
    </w:tbl>
    <w:p w14:paraId="2A925953">
      <w:pPr>
        <w:spacing w:line="480" w:lineRule="auto"/>
        <w:ind w:firstLine="482" w:firstLineChars="200"/>
        <w:rPr>
          <w:rFonts w:hint="eastAsia" w:ascii="宋体" w:hAnsi="宋体"/>
          <w:b/>
          <w:bCs/>
          <w:sz w:val="24"/>
        </w:rPr>
      </w:pPr>
    </w:p>
    <w:p w14:paraId="652EBD0E">
      <w:pPr>
        <w:spacing w:line="480" w:lineRule="auto"/>
        <w:ind w:firstLine="482" w:firstLineChars="200"/>
        <w:rPr>
          <w:rFonts w:hint="eastAsia" w:ascii="宋体" w:hAnsi="宋体"/>
          <w:b/>
          <w:bCs/>
          <w:sz w:val="24"/>
        </w:rPr>
      </w:pPr>
      <w:r>
        <w:rPr>
          <w:rFonts w:hint="eastAsia" w:ascii="宋体" w:hAnsi="宋体"/>
          <w:b/>
          <w:bCs/>
          <w:sz w:val="24"/>
        </w:rPr>
        <w:t>三、服务要求</w:t>
      </w:r>
    </w:p>
    <w:p w14:paraId="6917E901">
      <w:pPr>
        <w:spacing w:line="480" w:lineRule="auto"/>
        <w:ind w:firstLine="480" w:firstLineChars="200"/>
        <w:jc w:val="left"/>
        <w:rPr>
          <w:rFonts w:ascii="宋体" w:hAnsi="宋体"/>
          <w:sz w:val="24"/>
        </w:rPr>
      </w:pPr>
      <w:r>
        <w:rPr>
          <w:rFonts w:hint="eastAsia" w:ascii="宋体" w:hAnsi="宋体"/>
          <w:sz w:val="24"/>
        </w:rPr>
        <w:t>1、操作设计简单：根据采购人提供业务规则自主开发设计流程，提供简便的操作方式及可视化的操作界面，易于部署与维护。系统具有良好的稳定性，确保应用能够稳定、可靠运行。</w:t>
      </w:r>
    </w:p>
    <w:p w14:paraId="592C3ACE">
      <w:pPr>
        <w:spacing w:line="480" w:lineRule="auto"/>
        <w:ind w:firstLine="480" w:firstLineChars="200"/>
        <w:jc w:val="left"/>
        <w:rPr>
          <w:rFonts w:ascii="宋体" w:hAnsi="宋体"/>
          <w:sz w:val="24"/>
        </w:rPr>
      </w:pPr>
      <w:r>
        <w:rPr>
          <w:rFonts w:hint="eastAsia" w:ascii="宋体" w:hAnsi="宋体"/>
          <w:sz w:val="24"/>
          <w:lang w:val="en-US" w:eastAsia="zh-CN"/>
        </w:rPr>
        <w:t>2</w:t>
      </w:r>
      <w:r>
        <w:rPr>
          <w:rFonts w:hint="eastAsia" w:ascii="宋体" w:hAnsi="宋体"/>
          <w:sz w:val="24"/>
        </w:rPr>
        <w:t>、供应商设计应采用市场领先和成熟的技术，使系统具备较高程度的技术和思想领先性。</w:t>
      </w:r>
    </w:p>
    <w:p w14:paraId="383EA687">
      <w:pPr>
        <w:spacing w:line="480" w:lineRule="auto"/>
        <w:ind w:firstLine="480" w:firstLineChars="200"/>
        <w:jc w:val="left"/>
        <w:rPr>
          <w:rFonts w:ascii="宋体" w:hAnsi="宋体"/>
          <w:sz w:val="24"/>
        </w:rPr>
      </w:pPr>
      <w:r>
        <w:rPr>
          <w:rFonts w:hint="eastAsia" w:ascii="宋体" w:hAnsi="宋体"/>
          <w:sz w:val="24"/>
          <w:lang w:val="en-US" w:eastAsia="zh-CN"/>
        </w:rPr>
        <w:t>3</w:t>
      </w:r>
      <w:r>
        <w:rPr>
          <w:rFonts w:hint="eastAsia" w:ascii="宋体" w:hAnsi="宋体"/>
          <w:sz w:val="24"/>
        </w:rPr>
        <w:t>、供应商提供的产品服务应具有很好的可扩充性、可扩展性、适应性和可伸缩性，可以根据不同的配置方案，支持较大规模的用户数。系统体系结构设计在满足现有业务需求基础上，还要考虑到系统应当有充分的可扩展性，以满足未来的业务发展。</w:t>
      </w:r>
    </w:p>
    <w:p w14:paraId="2A43015D">
      <w:pPr>
        <w:spacing w:line="480" w:lineRule="auto"/>
        <w:ind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 xml:space="preserve">、供应商提供的产品服务应具有很强的安全及容错机制，以保障系统的高可用性与不间断运行，从而提高业务管理的水平，保证服务的质量；可以针对不同的用户应用安全要求，进行单层或多层安全部署，从而满足不同程度的系统应用安全要求；系统设计应制定网络结构安全、数据收集、存储、使用、加工、传输、提供等环节具体分级防护要求和操作规程， </w:t>
      </w:r>
    </w:p>
    <w:p w14:paraId="12D93FD2">
      <w:pPr>
        <w:spacing w:line="480" w:lineRule="auto"/>
        <w:ind w:firstLine="480" w:firstLineChars="200"/>
        <w:jc w:val="left"/>
        <w:rPr>
          <w:rFonts w:ascii="宋体" w:hAnsi="宋体"/>
          <w:sz w:val="24"/>
        </w:rPr>
      </w:pPr>
      <w:r>
        <w:rPr>
          <w:rFonts w:hint="eastAsia" w:ascii="宋体" w:hAnsi="宋体"/>
          <w:sz w:val="24"/>
          <w:lang w:val="en-US" w:eastAsia="zh-CN"/>
        </w:rPr>
        <w:t>5</w:t>
      </w:r>
      <w:r>
        <w:rPr>
          <w:rFonts w:hint="eastAsia" w:ascii="宋体" w:hAnsi="宋体"/>
          <w:sz w:val="24"/>
        </w:rPr>
        <w:t>、服务可靠性要求：应能连续7×24小时不间断工作，出现故障应能及时告警，应具有完整的操作权限管理功能和完善的服务安全机制；</w:t>
      </w:r>
    </w:p>
    <w:p w14:paraId="00C4A873">
      <w:pPr>
        <w:spacing w:line="480" w:lineRule="auto"/>
        <w:ind w:firstLine="400" w:firstLineChars="200"/>
        <w:jc w:val="left"/>
        <w:rPr>
          <w:rFonts w:ascii="宋体" w:hAnsi="宋体"/>
          <w:sz w:val="24"/>
        </w:rPr>
      </w:pPr>
      <w:r>
        <w:rPr>
          <w:rFonts w:hint="eastAsia" w:ascii="宋体" w:hAnsi="宋体" w:cs="宋体"/>
          <w:sz w:val="20"/>
          <w:szCs w:val="20"/>
        </w:rPr>
        <w:t>★</w:t>
      </w:r>
      <w:r>
        <w:rPr>
          <w:rFonts w:hint="eastAsia" w:ascii="宋体" w:hAnsi="宋体"/>
          <w:sz w:val="24"/>
          <w:lang w:val="en-US" w:eastAsia="zh-CN"/>
        </w:rPr>
        <w:t>6</w:t>
      </w:r>
      <w:r>
        <w:rPr>
          <w:rFonts w:hint="eastAsia" w:ascii="宋体" w:hAnsi="宋体"/>
          <w:sz w:val="24"/>
        </w:rPr>
        <w:t>、信息安全要求：</w:t>
      </w:r>
    </w:p>
    <w:p w14:paraId="2CDBA57E">
      <w:pPr>
        <w:spacing w:line="480" w:lineRule="auto"/>
        <w:ind w:firstLine="480" w:firstLineChars="200"/>
        <w:jc w:val="left"/>
        <w:rPr>
          <w:rFonts w:ascii="宋体" w:hAnsi="宋体"/>
          <w:sz w:val="24"/>
        </w:rPr>
      </w:pPr>
      <w:r>
        <w:rPr>
          <w:rFonts w:hint="eastAsia" w:ascii="宋体" w:hAnsi="宋体"/>
          <w:sz w:val="24"/>
        </w:rPr>
        <w:t>（1）成交供应商严格遵守《保密协议》规定，未经采购人授权，成交供应商不得以任何理由、任何方式、向任何第三方泄露任何相关的保密信息以及与本项目有关的内容，也不得利用采购人的相关资料用于本项目以外的目的。成交供应商对采购人拥有的客户资料、业务资料等保密信息的保密不随着本项目的终止而终止。</w:t>
      </w:r>
    </w:p>
    <w:p w14:paraId="5EBAA703">
      <w:pPr>
        <w:spacing w:line="480" w:lineRule="auto"/>
        <w:ind w:firstLine="480" w:firstLineChars="200"/>
        <w:jc w:val="left"/>
        <w:rPr>
          <w:rFonts w:ascii="宋体" w:hAnsi="宋体"/>
          <w:sz w:val="24"/>
        </w:rPr>
      </w:pPr>
      <w:r>
        <w:rPr>
          <w:rFonts w:hint="eastAsia" w:ascii="宋体" w:hAnsi="宋体"/>
          <w:sz w:val="24"/>
        </w:rPr>
        <w:t>（2）在项目实施期间内，成交供应商不得提供违反国家方针、政策或与国家现行法律和法规相抵触的信息，对所提供的信息服务内容产生的不良后果与纠纷承担全部责任。</w:t>
      </w:r>
    </w:p>
    <w:p w14:paraId="4B1751A0">
      <w:pPr>
        <w:spacing w:line="480" w:lineRule="auto"/>
        <w:ind w:firstLine="480" w:firstLineChars="200"/>
        <w:jc w:val="left"/>
        <w:rPr>
          <w:rFonts w:ascii="宋体" w:hAnsi="宋体"/>
          <w:sz w:val="24"/>
        </w:rPr>
      </w:pPr>
      <w:bookmarkStart w:id="0" w:name="业务受理类"/>
      <w:bookmarkEnd w:id="0"/>
      <w:r>
        <w:rPr>
          <w:rFonts w:hint="eastAsia" w:ascii="宋体" w:hAnsi="宋体"/>
          <w:sz w:val="24"/>
        </w:rPr>
        <w:t>（3）成交供应商必须与员工签订保密协议，并提供保密协议文档以及模板。</w:t>
      </w:r>
    </w:p>
    <w:p w14:paraId="2566A654">
      <w:pPr>
        <w:spacing w:line="480" w:lineRule="auto"/>
        <w:ind w:firstLine="480" w:firstLineChars="200"/>
        <w:jc w:val="left"/>
        <w:rPr>
          <w:rFonts w:ascii="宋体" w:hAnsi="宋体"/>
          <w:sz w:val="24"/>
        </w:rPr>
      </w:pPr>
      <w:r>
        <w:rPr>
          <w:rFonts w:hint="eastAsia" w:ascii="宋体" w:hAnsi="宋体"/>
          <w:sz w:val="24"/>
        </w:rPr>
        <w:t>（4）成交供应商需提供信息安全管理制度文档。</w:t>
      </w:r>
    </w:p>
    <w:p w14:paraId="3C3A0E01">
      <w:pPr>
        <w:spacing w:line="480" w:lineRule="auto"/>
        <w:ind w:firstLine="480" w:firstLineChars="200"/>
        <w:jc w:val="left"/>
        <w:rPr>
          <w:rFonts w:hint="eastAsia" w:ascii="宋体" w:hAnsi="宋体"/>
          <w:sz w:val="24"/>
        </w:rPr>
      </w:pPr>
      <w:r>
        <w:rPr>
          <w:rFonts w:hint="eastAsia" w:ascii="宋体" w:hAnsi="宋体"/>
          <w:sz w:val="24"/>
        </w:rPr>
        <w:t>（5）成交供应商完全负责由其泄露业务信息的法律责任。</w:t>
      </w:r>
    </w:p>
    <w:p w14:paraId="634761DE">
      <w:pPr>
        <w:spacing w:line="480" w:lineRule="auto"/>
        <w:ind w:firstLine="400" w:firstLineChars="200"/>
        <w:jc w:val="left"/>
        <w:rPr>
          <w:rFonts w:hint="eastAsia" w:ascii="宋体" w:hAnsi="宋体"/>
          <w:sz w:val="24"/>
        </w:rPr>
      </w:pPr>
      <w:r>
        <w:rPr>
          <w:rFonts w:hint="eastAsia" w:ascii="宋体" w:hAnsi="宋体" w:cs="宋体"/>
          <w:sz w:val="20"/>
          <w:szCs w:val="20"/>
        </w:rPr>
        <w:t>★</w:t>
      </w:r>
      <w:r>
        <w:rPr>
          <w:rFonts w:hint="eastAsia" w:ascii="宋体" w:hAnsi="宋体"/>
          <w:sz w:val="24"/>
          <w:lang w:val="en-US" w:eastAsia="zh-CN"/>
        </w:rPr>
        <w:t>7</w:t>
      </w:r>
      <w:r>
        <w:rPr>
          <w:rFonts w:hint="eastAsia" w:ascii="宋体" w:hAnsi="宋体"/>
          <w:sz w:val="24"/>
        </w:rPr>
        <w:t>、本项目在应用开发与实施全过程中，成交供应商必须与采购人充分技术合作，满足提供的软件与其它应用系统的集成要求。对软硬件使用过程中产生的问题需负责问题定位提供相关解决建议，无论是产品软件的问题还是配套采购的硬件问题，其调试及运维工作均需由成交供应商统筹负责处理。</w:t>
      </w:r>
    </w:p>
    <w:p w14:paraId="78D8336A">
      <w:pPr>
        <w:spacing w:line="480" w:lineRule="auto"/>
        <w:ind w:firstLine="400" w:firstLineChars="200"/>
        <w:jc w:val="left"/>
        <w:rPr>
          <w:rFonts w:hint="eastAsia" w:ascii="宋体" w:hAnsi="宋体"/>
          <w:sz w:val="24"/>
        </w:rPr>
      </w:pPr>
      <w:r>
        <w:rPr>
          <w:rFonts w:hint="eastAsia" w:ascii="宋体" w:hAnsi="宋体" w:cs="宋体"/>
          <w:sz w:val="20"/>
          <w:szCs w:val="20"/>
        </w:rPr>
        <w:t>★</w:t>
      </w:r>
      <w:r>
        <w:rPr>
          <w:rFonts w:hint="eastAsia" w:ascii="宋体" w:hAnsi="宋体"/>
          <w:sz w:val="24"/>
          <w:lang w:val="en-US" w:eastAsia="zh-CN"/>
        </w:rPr>
        <w:t>8</w:t>
      </w:r>
      <w:r>
        <w:rPr>
          <w:rFonts w:hint="eastAsia" w:ascii="宋体" w:hAnsi="宋体"/>
          <w:sz w:val="24"/>
        </w:rPr>
        <w:t>、供应商承诺所使用软硬件、技术等的合法性及无相关法律瑕疵。并通过新技术、新业务评估及数据安全的风险评估。（</w:t>
      </w:r>
      <w:r>
        <w:rPr>
          <w:rFonts w:hint="eastAsia" w:ascii="宋体" w:hAnsi="宋体"/>
          <w:b/>
          <w:sz w:val="24"/>
        </w:rPr>
        <w:t>提供承诺函加盖供应商鲜章</w:t>
      </w:r>
      <w:r>
        <w:rPr>
          <w:rFonts w:hint="eastAsia" w:ascii="宋体" w:hAnsi="宋体"/>
          <w:sz w:val="24"/>
        </w:rPr>
        <w:t>）</w:t>
      </w:r>
    </w:p>
    <w:p w14:paraId="4BA43B4D">
      <w:pPr>
        <w:spacing w:line="480" w:lineRule="auto"/>
        <w:ind w:firstLine="480" w:firstLineChars="200"/>
        <w:jc w:val="left"/>
        <w:rPr>
          <w:rFonts w:ascii="宋体" w:hAnsi="宋体"/>
          <w:sz w:val="24"/>
        </w:rPr>
      </w:pPr>
      <w:r>
        <w:rPr>
          <w:rFonts w:hint="eastAsia" w:ascii="宋体" w:hAnsi="宋体"/>
          <w:sz w:val="24"/>
          <w:lang w:val="en-US" w:eastAsia="zh-CN"/>
        </w:rPr>
        <w:t>9</w:t>
      </w:r>
      <w:r>
        <w:rPr>
          <w:rFonts w:hint="eastAsia" w:ascii="宋体" w:hAnsi="宋体"/>
          <w:sz w:val="24"/>
        </w:rPr>
        <w:t>、供应商须为本项目配置专业的项目团队，包括项目经理1名、项目技术负责人1名以及其他相关技术人员。</w:t>
      </w:r>
    </w:p>
    <w:p w14:paraId="32DE05AA">
      <w:pPr>
        <w:spacing w:line="480" w:lineRule="auto"/>
        <w:ind w:firstLine="400" w:firstLineChars="200"/>
        <w:jc w:val="left"/>
        <w:rPr>
          <w:rFonts w:hint="eastAsia" w:ascii="宋体" w:hAnsi="宋体"/>
          <w:sz w:val="24"/>
        </w:rPr>
      </w:pPr>
      <w:r>
        <w:rPr>
          <w:rFonts w:hint="eastAsia" w:ascii="宋体" w:hAnsi="宋体" w:cs="宋体"/>
          <w:sz w:val="20"/>
          <w:szCs w:val="20"/>
        </w:rPr>
        <w:t>★</w:t>
      </w:r>
      <w:r>
        <w:rPr>
          <w:rFonts w:hint="eastAsia" w:ascii="宋体" w:hAnsi="宋体"/>
          <w:sz w:val="24"/>
        </w:rPr>
        <w:t>1</w:t>
      </w:r>
      <w:r>
        <w:rPr>
          <w:rFonts w:hint="eastAsia" w:ascii="宋体" w:hAnsi="宋体"/>
          <w:sz w:val="24"/>
          <w:lang w:val="en-US" w:eastAsia="zh-CN"/>
        </w:rPr>
        <w:t>0</w:t>
      </w:r>
      <w:r>
        <w:rPr>
          <w:rFonts w:hint="eastAsia" w:ascii="宋体" w:hAnsi="宋体"/>
          <w:sz w:val="24"/>
        </w:rPr>
        <w:t>、数据对接：“餐餐在线”监督管理平台必须与利州区教育局学校食堂食品安全智能化管理系统数据对接，确保数据及时推送至“餐餐在线”平台。（提供承诺函加盖供应商鲜章）</w:t>
      </w:r>
    </w:p>
    <w:p w14:paraId="7ED64781">
      <w:pPr>
        <w:spacing w:line="480" w:lineRule="auto"/>
        <w:ind w:firstLine="482" w:firstLineChars="200"/>
        <w:rPr>
          <w:rFonts w:hint="eastAsia" w:ascii="宋体" w:hAnsi="宋体"/>
          <w:b/>
          <w:bCs/>
          <w:sz w:val="24"/>
        </w:rPr>
      </w:pPr>
      <w:r>
        <w:rPr>
          <w:rFonts w:hint="eastAsia" w:ascii="宋体" w:hAnsi="宋体"/>
          <w:b/>
          <w:bCs/>
          <w:sz w:val="24"/>
        </w:rPr>
        <w:t>四、商务要求：</w:t>
      </w:r>
    </w:p>
    <w:p w14:paraId="1D308DDC">
      <w:pPr>
        <w:spacing w:line="480" w:lineRule="auto"/>
        <w:ind w:firstLine="480" w:firstLineChars="200"/>
        <w:rPr>
          <w:rFonts w:ascii="宋体" w:hAnsi="宋体"/>
          <w:sz w:val="24"/>
        </w:rPr>
      </w:pPr>
      <w:r>
        <w:rPr>
          <w:rFonts w:hint="eastAsia" w:ascii="宋体" w:hAnsi="宋体"/>
          <w:sz w:val="24"/>
        </w:rPr>
        <w:t>1、服务时间：合同签订后30日内完成本项目软件开发和系统上线并通过采购人验收使用。</w:t>
      </w:r>
    </w:p>
    <w:p w14:paraId="0FE1663E">
      <w:pPr>
        <w:spacing w:line="480" w:lineRule="auto"/>
        <w:ind w:firstLine="480" w:firstLineChars="200"/>
        <w:rPr>
          <w:rFonts w:ascii="宋体" w:hAnsi="宋体"/>
          <w:sz w:val="24"/>
        </w:rPr>
      </w:pPr>
      <w:r>
        <w:rPr>
          <w:rFonts w:hint="eastAsia" w:ascii="宋体" w:hAnsi="宋体"/>
          <w:sz w:val="24"/>
        </w:rPr>
        <w:t>2、服务地点：广元市利州区教育局。</w:t>
      </w:r>
    </w:p>
    <w:p w14:paraId="2FD32180">
      <w:pPr>
        <w:spacing w:line="480" w:lineRule="auto"/>
        <w:ind w:firstLine="480" w:firstLineChars="200"/>
        <w:rPr>
          <w:rFonts w:hint="eastAsia" w:ascii="宋体" w:hAnsi="宋体"/>
          <w:sz w:val="24"/>
        </w:rPr>
      </w:pPr>
      <w:r>
        <w:rPr>
          <w:rFonts w:hint="eastAsia" w:ascii="宋体" w:hAnsi="宋体"/>
          <w:sz w:val="24"/>
        </w:rPr>
        <w:t>3、支付方式：</w:t>
      </w:r>
      <w:r>
        <w:rPr>
          <w:rFonts w:hint="eastAsia" w:ascii="宋体" w:hAnsi="宋体"/>
          <w:color w:val="000000"/>
          <w:sz w:val="24"/>
        </w:rPr>
        <w:t>合同签订后7日内采购人支付合同金额的30%作为项目预付款，系统全部上线并通过采购人验收后30日内，采购人支付合同金额的70%给成交供应商。成交供应商向采购人开具正式发票，方可办理相关申报支付手续。</w:t>
      </w:r>
    </w:p>
    <w:p w14:paraId="381B5F7D">
      <w:pPr>
        <w:spacing w:line="480" w:lineRule="auto"/>
        <w:ind w:firstLine="400" w:firstLineChars="200"/>
        <w:rPr>
          <w:rFonts w:hint="eastAsia" w:ascii="宋体" w:hAnsi="宋体"/>
          <w:sz w:val="24"/>
        </w:rPr>
      </w:pPr>
      <w:r>
        <w:rPr>
          <w:rFonts w:hint="eastAsia" w:ascii="宋体" w:hAnsi="宋体" w:cs="宋体"/>
          <w:sz w:val="20"/>
          <w:szCs w:val="20"/>
        </w:rPr>
        <w:t>★</w:t>
      </w:r>
      <w:r>
        <w:rPr>
          <w:rFonts w:hint="eastAsia" w:ascii="宋体" w:hAnsi="宋体"/>
          <w:sz w:val="24"/>
        </w:rPr>
        <w:t>4、报价要求：</w:t>
      </w:r>
      <w:r>
        <w:rPr>
          <w:rFonts w:hint="eastAsia" w:ascii="宋体" w:hAnsi="宋体"/>
          <w:color w:val="000000"/>
          <w:sz w:val="24"/>
        </w:rPr>
        <w:t>软件开发、人工劳务、第一年的运维服务费用、利润、税金</w:t>
      </w:r>
      <w:r>
        <w:rPr>
          <w:rFonts w:hint="eastAsia" w:ascii="宋体" w:hAnsi="宋体"/>
          <w:sz w:val="24"/>
        </w:rPr>
        <w:t>、培训、招标代理服务费等一切费用，采购人不再支付其他任何费用。</w:t>
      </w:r>
    </w:p>
    <w:p w14:paraId="221691B1">
      <w:pPr>
        <w:spacing w:line="480" w:lineRule="auto"/>
        <w:ind w:firstLine="240" w:firstLineChars="100"/>
        <w:rPr>
          <w:rFonts w:hint="eastAsia" w:ascii="宋体" w:hAnsi="宋体"/>
          <w:sz w:val="24"/>
        </w:rPr>
      </w:pPr>
      <w:r>
        <w:rPr>
          <w:rFonts w:hint="eastAsia" w:ascii="宋体" w:hAnsi="宋体"/>
          <w:sz w:val="24"/>
        </w:rPr>
        <w:t>5、验收：</w:t>
      </w:r>
    </w:p>
    <w:p w14:paraId="4298E0E3">
      <w:pPr>
        <w:spacing w:line="480" w:lineRule="auto"/>
        <w:ind w:firstLine="480" w:firstLineChars="200"/>
        <w:rPr>
          <w:rFonts w:hint="eastAsia" w:ascii="宋体" w:hAnsi="宋体"/>
          <w:sz w:val="24"/>
        </w:rPr>
      </w:pPr>
      <w:r>
        <w:rPr>
          <w:rFonts w:hint="eastAsia" w:ascii="宋体" w:hAnsi="宋体"/>
          <w:sz w:val="24"/>
        </w:rPr>
        <w:t>（1）验收主体：广元市利州区教育局。</w:t>
      </w:r>
    </w:p>
    <w:p w14:paraId="6B9D3FC8">
      <w:pPr>
        <w:spacing w:line="480" w:lineRule="auto"/>
        <w:ind w:firstLine="480" w:firstLineChars="200"/>
        <w:rPr>
          <w:rFonts w:hint="eastAsia" w:ascii="宋体" w:hAnsi="宋体"/>
          <w:sz w:val="24"/>
        </w:rPr>
      </w:pPr>
      <w:r>
        <w:rPr>
          <w:rFonts w:hint="eastAsia" w:ascii="宋体" w:hAnsi="宋体"/>
          <w:sz w:val="24"/>
        </w:rPr>
        <w:t>（2）验收程序：采购人在收到成交供应商发出验收申请后10日内做出出面答复并完成验收。</w:t>
      </w:r>
    </w:p>
    <w:p w14:paraId="385E53A0">
      <w:pPr>
        <w:spacing w:line="480" w:lineRule="auto"/>
        <w:ind w:firstLine="480" w:firstLineChars="200"/>
        <w:rPr>
          <w:rFonts w:hint="eastAsia" w:ascii="宋体" w:hAnsi="宋体"/>
          <w:sz w:val="24"/>
        </w:rPr>
      </w:pPr>
      <w:r>
        <w:rPr>
          <w:rFonts w:hint="eastAsia" w:ascii="宋体" w:hAnsi="宋体"/>
          <w:sz w:val="24"/>
        </w:rPr>
        <w:t>（3）验收内容：本项目所涉及的服务内容及形成的资料等。</w:t>
      </w:r>
    </w:p>
    <w:p w14:paraId="5B34DD08">
      <w:pPr>
        <w:spacing w:line="480" w:lineRule="auto"/>
        <w:ind w:firstLine="480" w:firstLineChars="200"/>
        <w:rPr>
          <w:rFonts w:hint="eastAsia" w:ascii="宋体" w:hAnsi="宋体"/>
          <w:sz w:val="24"/>
        </w:rPr>
      </w:pPr>
      <w:r>
        <w:rPr>
          <w:rFonts w:hint="eastAsia" w:ascii="宋体" w:hAnsi="宋体"/>
          <w:sz w:val="24"/>
        </w:rPr>
        <w:t>（4）验收标准：采购人将严格按照政府采购相关法律法规以及《财政部关于进一步加强政府采购需求和履约验收管理的指导意见》财库【2016】205文件要求、磋商文件规定的要求和响应文件及合同承诺的内容进行验收。</w:t>
      </w:r>
    </w:p>
    <w:p w14:paraId="41027A64">
      <w:pPr>
        <w:spacing w:line="480" w:lineRule="auto"/>
        <w:ind w:firstLine="480" w:firstLineChars="200"/>
        <w:rPr>
          <w:rFonts w:ascii="宋体" w:hAnsi="宋体"/>
          <w:color w:val="000000"/>
          <w:sz w:val="24"/>
        </w:rPr>
      </w:pPr>
      <w:r>
        <w:rPr>
          <w:rFonts w:hint="eastAsia" w:ascii="宋体" w:hAnsi="宋体"/>
          <w:sz w:val="24"/>
        </w:rPr>
        <w:t>6、</w:t>
      </w:r>
      <w:r>
        <w:rPr>
          <w:rFonts w:hint="eastAsia" w:ascii="宋体" w:hAnsi="宋体"/>
          <w:color w:val="000000"/>
          <w:sz w:val="24"/>
        </w:rPr>
        <w:t>运维服务期限：</w:t>
      </w:r>
      <w:r>
        <w:rPr>
          <w:rFonts w:ascii="宋体" w:hAnsi="宋体"/>
          <w:color w:val="000000"/>
          <w:sz w:val="24"/>
        </w:rPr>
        <w:t xml:space="preserve"> </w:t>
      </w:r>
    </w:p>
    <w:p w14:paraId="5855F515">
      <w:pPr>
        <w:spacing w:line="480" w:lineRule="auto"/>
        <w:ind w:firstLine="400" w:firstLineChars="200"/>
        <w:rPr>
          <w:rFonts w:ascii="宋体" w:hAnsi="宋体"/>
          <w:color w:val="000000"/>
          <w:sz w:val="24"/>
        </w:rPr>
      </w:pPr>
      <w:r>
        <w:rPr>
          <w:rFonts w:hint="eastAsia" w:ascii="宋体" w:hAnsi="宋体" w:cs="宋体"/>
          <w:sz w:val="20"/>
          <w:szCs w:val="20"/>
        </w:rPr>
        <w:t>★</w:t>
      </w:r>
      <w:r>
        <w:rPr>
          <w:rFonts w:hint="eastAsia" w:ascii="宋体" w:hAnsi="宋体"/>
          <w:color w:val="000000"/>
          <w:sz w:val="24"/>
        </w:rPr>
        <w:t>（1）本项目系统软件的运维服务期限自本项目验收合格书（项目终验）签订之日起三年，其中第一年为成交供应商免费提供，后面两年为有偿服务，有偿服务的成本包含在供应商的报价中。三年后，如采购人还需提供成交供应商提供运维服务，采购人须单独支付费用。</w:t>
      </w:r>
    </w:p>
    <w:p w14:paraId="18AF6365">
      <w:pPr>
        <w:spacing w:line="480" w:lineRule="auto"/>
        <w:ind w:firstLine="480" w:firstLineChars="200"/>
        <w:rPr>
          <w:rFonts w:ascii="宋体" w:hAnsi="宋体"/>
          <w:color w:val="000000"/>
          <w:sz w:val="24"/>
        </w:rPr>
      </w:pPr>
      <w:r>
        <w:rPr>
          <w:rFonts w:hint="eastAsia" w:ascii="宋体" w:hAnsi="宋体"/>
          <w:color w:val="000000"/>
          <w:sz w:val="24"/>
        </w:rPr>
        <w:t>（2）运维服务期间成交供应商须负责系统部署上线后的使用培训、基础数据导入、日常运维保障、平台网络安全维护保障。</w:t>
      </w:r>
    </w:p>
    <w:p w14:paraId="31BE5470">
      <w:pPr>
        <w:spacing w:line="480" w:lineRule="auto"/>
        <w:ind w:firstLine="400" w:firstLineChars="200"/>
        <w:rPr>
          <w:rFonts w:ascii="宋体" w:hAnsi="宋体"/>
          <w:color w:val="000000"/>
          <w:sz w:val="24"/>
        </w:rPr>
      </w:pPr>
      <w:r>
        <w:rPr>
          <w:rFonts w:hint="eastAsia" w:ascii="宋体" w:hAnsi="宋体" w:cs="宋体"/>
          <w:sz w:val="20"/>
          <w:szCs w:val="20"/>
        </w:rPr>
        <w:t>★</w:t>
      </w:r>
      <w:r>
        <w:rPr>
          <w:rFonts w:hint="eastAsia" w:ascii="宋体" w:hAnsi="宋体"/>
          <w:color w:val="000000"/>
          <w:sz w:val="24"/>
        </w:rPr>
        <w:t>（3）响应时间：供应商在投标文件中必须明确承诺维保服务响应时间，并不得低于以下标准：提供</w:t>
      </w:r>
      <w:r>
        <w:rPr>
          <w:rFonts w:ascii="宋体" w:hAnsi="宋体"/>
          <w:color w:val="000000"/>
          <w:sz w:val="24"/>
        </w:rPr>
        <w:t>5</w:t>
      </w:r>
      <w:r>
        <w:rPr>
          <w:rFonts w:hint="eastAsia" w:ascii="宋体" w:hAnsi="宋体"/>
          <w:color w:val="000000"/>
          <w:sz w:val="24"/>
        </w:rPr>
        <w:t>×</w:t>
      </w:r>
      <w:r>
        <w:rPr>
          <w:rFonts w:ascii="宋体" w:hAnsi="宋体"/>
          <w:color w:val="000000"/>
          <w:sz w:val="24"/>
        </w:rPr>
        <w:t>8小时</w:t>
      </w:r>
      <w:r>
        <w:rPr>
          <w:rFonts w:hint="eastAsia" w:ascii="宋体" w:hAnsi="宋体"/>
          <w:color w:val="000000"/>
          <w:sz w:val="24"/>
        </w:rPr>
        <w:t>电话、远程协助或软件工程师现场维护，接到采购人报修通知，及时电话或者远程响应，1小时内做出明确安排，8小时内做出故障诊断报告。如需现场服务的，必须指派具有解决故障能力的工程师并在与采购人沟通确定的时间内到达现场，及时解决问题排除故障。</w:t>
      </w:r>
      <w:r>
        <w:rPr>
          <w:rFonts w:hint="eastAsia" w:ascii="宋体" w:hAnsi="宋体"/>
          <w:sz w:val="24"/>
        </w:rPr>
        <w:t>（</w:t>
      </w:r>
      <w:r>
        <w:rPr>
          <w:rFonts w:hint="eastAsia" w:ascii="宋体" w:hAnsi="宋体"/>
          <w:b/>
          <w:sz w:val="24"/>
        </w:rPr>
        <w:t>提供承诺函加盖供应商鲜章</w:t>
      </w:r>
      <w:r>
        <w:rPr>
          <w:rFonts w:hint="eastAsia" w:ascii="宋体" w:hAnsi="宋体"/>
          <w:sz w:val="24"/>
        </w:rPr>
        <w:t>）</w:t>
      </w:r>
    </w:p>
    <w:p w14:paraId="5D00BD24">
      <w:pPr>
        <w:spacing w:line="480" w:lineRule="auto"/>
        <w:ind w:firstLine="480" w:firstLineChars="200"/>
        <w:rPr>
          <w:rFonts w:ascii="宋体" w:hAnsi="宋体"/>
          <w:color w:val="000000"/>
          <w:sz w:val="24"/>
        </w:rPr>
      </w:pPr>
      <w:r>
        <w:rPr>
          <w:rFonts w:hint="eastAsia" w:ascii="宋体" w:hAnsi="宋体"/>
          <w:color w:val="000000"/>
          <w:sz w:val="24"/>
        </w:rPr>
        <w:t>（4）培训：</w:t>
      </w:r>
    </w:p>
    <w:p w14:paraId="2B90B9AF">
      <w:pPr>
        <w:spacing w:line="480" w:lineRule="auto"/>
        <w:ind w:firstLine="480" w:firstLineChars="200"/>
        <w:rPr>
          <w:rFonts w:ascii="宋体" w:hAnsi="宋体"/>
          <w:color w:val="000000"/>
          <w:sz w:val="24"/>
        </w:rPr>
      </w:pPr>
      <w:r>
        <w:rPr>
          <w:rFonts w:hint="eastAsia" w:ascii="宋体" w:hAnsi="宋体"/>
          <w:color w:val="000000"/>
          <w:sz w:val="24"/>
        </w:rPr>
        <w:t>①成交供应商应保证提供最有经验的教员，使采购人相关人员在培训后能够独立地对系统进行管理、维护，而不需人员在场指导。</w:t>
      </w:r>
    </w:p>
    <w:p w14:paraId="37CB3E52">
      <w:pPr>
        <w:spacing w:line="480" w:lineRule="auto"/>
        <w:ind w:firstLine="480" w:firstLineChars="200"/>
        <w:rPr>
          <w:rFonts w:ascii="宋体" w:hAnsi="宋体"/>
          <w:color w:val="000000"/>
          <w:sz w:val="24"/>
        </w:rPr>
      </w:pPr>
      <w:r>
        <w:rPr>
          <w:rFonts w:hint="eastAsia" w:ascii="宋体" w:hAnsi="宋体"/>
          <w:color w:val="000000"/>
          <w:sz w:val="24"/>
        </w:rPr>
        <w:t>②培训内容应包括使用培训（针对项目日常维护人员及应用人员）、系统管理培训（针对项目技术管理人员）和高级管理培训（针对项目高级管理人员）。</w:t>
      </w:r>
    </w:p>
    <w:p w14:paraId="757C644A">
      <w:pPr>
        <w:spacing w:line="480" w:lineRule="auto"/>
        <w:ind w:firstLine="480" w:firstLineChars="200"/>
        <w:rPr>
          <w:rFonts w:ascii="宋体" w:hAnsi="宋体"/>
          <w:color w:val="000000"/>
          <w:sz w:val="24"/>
        </w:rPr>
      </w:pPr>
      <w:r>
        <w:rPr>
          <w:rFonts w:hint="eastAsia" w:ascii="宋体" w:hAnsi="宋体"/>
          <w:color w:val="000000"/>
          <w:sz w:val="24"/>
        </w:rPr>
        <w:t>③培训应提供以下材料：</w:t>
      </w:r>
    </w:p>
    <w:p w14:paraId="5C7E0549">
      <w:pPr>
        <w:spacing w:line="480" w:lineRule="auto"/>
        <w:ind w:firstLine="480" w:firstLineChars="200"/>
        <w:rPr>
          <w:rFonts w:ascii="宋体" w:hAnsi="宋体"/>
          <w:color w:val="000000"/>
          <w:sz w:val="24"/>
        </w:rPr>
      </w:pPr>
      <w:r>
        <w:rPr>
          <w:rFonts w:hint="eastAsia" w:ascii="宋体" w:hAnsi="宋体"/>
          <w:color w:val="000000"/>
          <w:sz w:val="24"/>
        </w:rPr>
        <w:t>《1》培训大纲：其中应注明每次课程的内容和目的；</w:t>
      </w:r>
    </w:p>
    <w:p w14:paraId="7E323A51">
      <w:pPr>
        <w:spacing w:line="480" w:lineRule="auto"/>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培训计划：其中应注明每次培训课程的时间及课时；</w:t>
      </w:r>
    </w:p>
    <w:p w14:paraId="4770611E">
      <w:pPr>
        <w:spacing w:line="480" w:lineRule="auto"/>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培训内容：系统的性能、相关技术原理和操作使用方法，维护管理的技术，实际的操作练习；</w:t>
      </w:r>
    </w:p>
    <w:p w14:paraId="76FBE0FA">
      <w:pPr>
        <w:spacing w:line="480" w:lineRule="auto"/>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培训课程应安排在整个项目计划的合适时间段内；</w:t>
      </w:r>
    </w:p>
    <w:p w14:paraId="2EA8A850">
      <w:pPr>
        <w:spacing w:line="480" w:lineRule="auto"/>
        <w:ind w:firstLine="480" w:firstLineChars="200"/>
        <w:rPr>
          <w:rFonts w:ascii="宋体" w:hAnsi="宋体"/>
          <w:color w:val="000000"/>
          <w:sz w:val="24"/>
        </w:rPr>
      </w:pPr>
      <w:r>
        <w:rPr>
          <w:rFonts w:hint="eastAsia" w:ascii="宋体" w:hAnsi="宋体"/>
          <w:color w:val="000000"/>
          <w:sz w:val="24"/>
        </w:rPr>
        <w:t>④</w:t>
      </w:r>
      <w:r>
        <w:rPr>
          <w:rFonts w:ascii="宋体" w:hAnsi="宋体"/>
          <w:color w:val="000000"/>
          <w:sz w:val="24"/>
        </w:rPr>
        <w:t>所有的培训费用必须计入投标总价。</w:t>
      </w:r>
    </w:p>
    <w:p w14:paraId="26B55951">
      <w:pPr>
        <w:spacing w:line="480" w:lineRule="auto"/>
        <w:ind w:firstLine="482" w:firstLineChars="200"/>
        <w:rPr>
          <w:rFonts w:ascii="宋体" w:hAnsi="宋体"/>
        </w:rPr>
      </w:pPr>
      <w:r>
        <w:rPr>
          <w:rFonts w:hint="eastAsia" w:ascii="宋体" w:hAnsi="宋体" w:cs="仿宋_GB2312"/>
          <w:b/>
          <w:sz w:val="24"/>
        </w:rPr>
        <w:t>注：以上打★号的为本次磋商项目的实质性要求或核心功能，不允许有负偏离。</w:t>
      </w:r>
    </w:p>
    <w:p w14:paraId="282349A2">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29B46"/>
    <w:multiLevelType w:val="singleLevel"/>
    <w:tmpl w:val="AEA29B46"/>
    <w:lvl w:ilvl="0" w:tentative="0">
      <w:start w:val="1"/>
      <w:numFmt w:val="decimal"/>
      <w:lvlText w:val="%1."/>
      <w:lvlJc w:val="left"/>
      <w:pPr>
        <w:tabs>
          <w:tab w:val="left" w:pos="312"/>
        </w:tabs>
      </w:pPr>
    </w:lvl>
  </w:abstractNum>
  <w:abstractNum w:abstractNumId="1">
    <w:nsid w:val="7362459E"/>
    <w:multiLevelType w:val="singleLevel"/>
    <w:tmpl w:val="7362459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3E02E7"/>
    <w:rsid w:val="6E521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4">
    <w:name w:val="Normal (Web)"/>
    <w:basedOn w:val="1"/>
    <w:qFormat/>
    <w:uiPriority w:val="0"/>
    <w:pPr>
      <w:widowControl/>
      <w:spacing w:before="100" w:beforeAutospacing="1" w:after="100" w:afterAutospacing="1"/>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5258</Words>
  <Characters>5289</Characters>
  <Lines>0</Lines>
  <Paragraphs>0</Paragraphs>
  <TotalTime>0</TotalTime>
  <ScaleCrop>false</ScaleCrop>
  <LinksUpToDate>false</LinksUpToDate>
  <CharactersWithSpaces>5292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2025-08-04T08:04:00Z</dcterms:created>
  <dc:creator>Administrator</dc:creator>
  <cp:lastModifiedBy>1</cp:lastModifiedBy>
  <dcterms:modified xsi:type="dcterms:W3CDTF">2025-08-04T09:30:11Z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eyJoZGlkIjoiYzY3ODdjODc0MGRiMmZlMzA1NzcwN2NhMDdiYTkxYjkiLCJ1c2VySWQiOiIxMjExMDE3OTg5In0=</vt:lpwstr>
  </property>
  <property fmtid="{D5CDD505-2E9C-101B-9397-08002B2CF9AE}" pid="4" name="ICV">
    <vt:lpwstr>1FEC89177B174A1CB4A610FD0DEF8379_12</vt:lpwstr>
  </property>
</Properties>
</file>