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59E8F">
      <w:pPr>
        <w:spacing w:line="48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采购项目技术、服务及其他商务要求</w:t>
      </w:r>
      <w:bookmarkStart w:id="0" w:name="_GoBack"/>
      <w:bookmarkEnd w:id="0"/>
    </w:p>
    <w:p w14:paraId="3016DD04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一、项目概况</w:t>
      </w:r>
    </w:p>
    <w:p w14:paraId="7AC24F95"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广元市利州区雪峰第一幼儿园维修改造项目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，维修改造绿化景观80 平方米、防护栏及围墙 130米、室外墙面170 平方米、室内墙面240平方米、室内大厅80平方米、游戏区角325平方米(其中:多功能教室 150平方米、阅读室85 平方米、楼梯间墙面90 平方米)。</w:t>
      </w:r>
    </w:p>
    <w:p w14:paraId="524894B7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工程地址：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广元市利州区雪峰第一幼儿园</w:t>
      </w:r>
    </w:p>
    <w:p w14:paraId="178B7519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 xml:space="preserve">主要建设内容：详见本项目施工图纸（如有）和工程量清单。   </w:t>
      </w:r>
    </w:p>
    <w:p w14:paraId="1CE0C45A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本项目所属行业为:建筑业。</w:t>
      </w:r>
    </w:p>
    <w:p w14:paraId="38EB463C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二、技术、服务标准和要求</w:t>
      </w:r>
    </w:p>
    <w:p w14:paraId="75461AA0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技术质量标准</w:t>
      </w:r>
    </w:p>
    <w:p w14:paraId="5A4B3D88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1.1工程技术满足施工图纸、工程量清单及现行国家、行业与本项目相关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</w:rPr>
        <w:t>技术标准和要求；</w:t>
      </w:r>
    </w:p>
    <w:p w14:paraId="7556FB5A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1.2工程质量满足设计、施工、验收规范要求，符合现行国家、行业与本项目相关的规范要求，并通过相关部门验收合格；</w:t>
      </w:r>
    </w:p>
    <w:p w14:paraId="4E776D2A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1.3工程使用的材料符合国家标准、行业标准，并按规定送检。</w:t>
      </w:r>
    </w:p>
    <w:p w14:paraId="57421704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1.4供应商针对本项目的施工，应达到国家及行业现行技术规范标准，符合国家及行业验收合格标准。</w:t>
      </w:r>
    </w:p>
    <w:p w14:paraId="48B4DD69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漏项工程处理</w:t>
      </w:r>
      <w:r>
        <w:rPr>
          <w:rFonts w:hint="eastAsia" w:ascii="宋体" w:hAnsi="宋体" w:eastAsia="宋体" w:cs="宋体"/>
          <w:color w:val="auto"/>
          <w:sz w:val="24"/>
        </w:rPr>
        <w:t>：施工过程中，发现工程量清单存在漏项工程的，该漏项工程作为本项目本章采购需求的组成部分，采购人和供应商可以按照《中华人民共和国政府采购法》的规定签订不超过成交金额百分之十的补充合同。</w:t>
      </w:r>
    </w:p>
    <w:p w14:paraId="0BC384E0">
      <w:pPr>
        <w:spacing w:line="480" w:lineRule="auto"/>
        <w:ind w:firstLine="482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★</w:t>
      </w:r>
      <w:r>
        <w:rPr>
          <w:rFonts w:hint="eastAsia"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安全管理：供应商在响应文件中应承诺：在工程施工过程中应采取充分有效的安全保护措施，加强安全教育和安全防范，避免对人员或财产造成伤害和损害，所有安全责任均由供应商承担。</w:t>
      </w:r>
    </w:p>
    <w:p w14:paraId="438C1B3C">
      <w:pPr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环保要求：供应商在施工期间应按照相关部门要求做好环境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保护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4DC9DD1C">
      <w:pPr>
        <w:pStyle w:val="2"/>
        <w:numPr>
          <w:ilvl w:val="0"/>
          <w:numId w:val="1"/>
        </w:numPr>
        <w:spacing w:line="48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建设完工验收合格后，配合采购人完成本项目的审计工作（如有），具体工作服务内容按照采购人的要求执行。</w:t>
      </w:r>
    </w:p>
    <w:p w14:paraId="6F510912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三、商务要求：</w:t>
      </w:r>
    </w:p>
    <w:tbl>
      <w:tblPr>
        <w:tblStyle w:val="3"/>
        <w:tblW w:w="9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17"/>
        <w:gridCol w:w="7100"/>
      </w:tblGrid>
      <w:tr w14:paraId="7B4B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C65F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FA5B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项目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11E2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要求</w:t>
            </w:r>
          </w:p>
        </w:tc>
      </w:tr>
      <w:tr w14:paraId="757C3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4ED3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CEB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工期和进度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77E2">
            <w:pPr>
              <w:spacing w:line="360" w:lineRule="auto"/>
              <w:ind w:right="21" w:rightChars="1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工期总日历天数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天。</w:t>
            </w:r>
          </w:p>
        </w:tc>
      </w:tr>
      <w:tr w14:paraId="440A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C8028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11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缺陷责任期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308E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本项目缺陷责任期为1年(从工程竣工验收合格之日起计算) ，缺陷责任期内，由成交供应商原因造成的质量缺陷,由成交供应商承担缺陷修复义务,并承担相应费用。</w:t>
            </w:r>
          </w:p>
        </w:tc>
      </w:tr>
      <w:tr w14:paraId="32265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0A86">
            <w:pPr>
              <w:spacing w:line="360" w:lineRule="auto"/>
              <w:ind w:firstLine="105" w:firstLineChars="5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11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拟任项目技术负责人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664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具有建筑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建筑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装修装饰相关专业中级及以上职称证书。</w:t>
            </w:r>
          </w:p>
        </w:tc>
      </w:tr>
      <w:tr w14:paraId="41DD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5F59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DB6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质量保修期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8EBC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本项目质量保修期从竣工验收合格之日起计算，质量保修期为1年，有防水要求的防水工程为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年。在规定的保修期内，工程出现质量问题，由原施工单位承担保修，所需费用由责任人方承担。</w:t>
            </w:r>
          </w:p>
        </w:tc>
      </w:tr>
      <w:tr w14:paraId="08810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AF97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A79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其他售后服务要求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09FB">
            <w:pPr>
              <w:spacing w:line="360" w:lineRule="auto"/>
              <w:ind w:right="21" w:rightChars="1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在质量保修期内出现质量问题（不可抗力因素除外），成交供应商在接到采购人维修通知后30分钟内响应，4小时内到达现场，在双方确定的合理时间内解决问题，成交供应商免费进行维修。</w:t>
            </w:r>
          </w:p>
        </w:tc>
      </w:tr>
      <w:tr w14:paraId="2364A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7EA7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8E90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付款方式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4A0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工程预付款：支付预付款的时间和金额或占合同价款的比例：进场后下达开工令5日内，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支付预付款为合同总价的30%（不含暂列金、安全文明施工费、规费）。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工程款（进度款）：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施工形象进度至合同约定总工程量的80%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并经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初验合格后拨付合同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总价款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当供应商完成本合同工程全部内容（即形象进度达到100%）并经采购人验收合格后拨付至合同金额的97%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  <w:p w14:paraId="55BDA04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3.工程质保金3%，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质保期满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且无质量问题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后按规定无息支付。</w:t>
            </w:r>
          </w:p>
        </w:tc>
      </w:tr>
      <w:tr w14:paraId="071A4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9FC8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82E2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验收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579F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本项目采购人将按照合同约定，依据政府采购相关法律法规、《财政部关于进一步加强政府采购需求和履约验收管理的指导意见》（财库〔2016〕205号）、《政府采购需求管理办法》（财库〔2021〕22号）的要求及国家行业主管部门规定的标准、方法和内容组织验收：按照行业相关技术标准和规定，由采购人组织相关单位及专业人员验收。</w:t>
            </w:r>
          </w:p>
          <w:p w14:paraId="36A12742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交付竣工验收的工程，必须符合规定的工程质量标准，有完整的工程技术经济资料和经签署的工程保修书，并具备国家规定的其他竣工条件。工程竣工经验收合格后，方可交付使用；未经验收或者验收不合格的，不得交付使用。</w:t>
            </w:r>
          </w:p>
          <w:p w14:paraId="58C2EE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验收结果合格的，采购人应向成交供应商出具履约验收报告，成交供应商凭验收报告办理相关手续。</w:t>
            </w:r>
          </w:p>
        </w:tc>
      </w:tr>
      <w:tr w14:paraId="209E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ED6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BB6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其他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1E81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1.采购人不组织项目现场踏勘，潜在供应商可自行前往现场进行踏勘，供应商应对踏勘中获取的现场资料负责。</w:t>
            </w:r>
          </w:p>
          <w:p w14:paraId="20A032F4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2.其他未尽事宜由采购人与成交供应商在合同中约定。</w:t>
            </w:r>
          </w:p>
        </w:tc>
      </w:tr>
    </w:tbl>
    <w:p w14:paraId="5E2C83E7"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注：以上</w:t>
      </w:r>
      <w:r>
        <w:rPr>
          <w:rFonts w:hint="eastAsia" w:ascii="宋体" w:hAnsi="宋体" w:eastAsia="宋体" w:cs="宋体"/>
          <w:b/>
          <w:color w:val="auto"/>
          <w:sz w:val="24"/>
        </w:rPr>
        <w:t>带“★”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项</w:t>
      </w:r>
      <w:r>
        <w:rPr>
          <w:rFonts w:hint="eastAsia" w:ascii="宋体" w:hAnsi="宋体" w:eastAsia="宋体" w:cs="宋体"/>
          <w:b/>
          <w:color w:val="auto"/>
          <w:sz w:val="24"/>
        </w:rPr>
        <w:t>为实质性要求，不允许负偏离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，否则做无效投标处理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01A87AC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61B19"/>
    <w:multiLevelType w:val="singleLevel"/>
    <w:tmpl w:val="B0A61B1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2025-08-08T09:12:25Z</dcterms:created>
  <dc:creator>Administrator</dc:creator>
  <cp:lastModifiedBy>1</cp:lastModifiedBy>
  <dcterms:modified xsi:type="dcterms:W3CDTF">2025-08-08T09:13:09Z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945821CFE7414647842B97E27C75C01E_12</vt:lpwstr>
  </property>
</Properties>
</file>