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047D">
      <w:pPr>
        <w:pStyle w:val="2"/>
        <w:bidi w:val="0"/>
        <w:jc w:val="center"/>
        <w:rPr>
          <w:rFonts w:hint="eastAsia" w:ascii="仿宋" w:hAnsi="仿宋" w:eastAsia="仿宋" w:cs="仿宋"/>
          <w:b w:val="0"/>
          <w:bCs w:val="0"/>
          <w:szCs w:val="30"/>
          <w:highlight w:val="none"/>
        </w:rPr>
      </w:pPr>
      <w:r>
        <w:rPr>
          <w:rFonts w:hint="eastAsia"/>
          <w:sz w:val="36"/>
          <w:szCs w:val="36"/>
          <w:lang w:val="en-US" w:eastAsia="zh-CN"/>
        </w:rPr>
        <w:t>比选</w:t>
      </w:r>
      <w:r>
        <w:rPr>
          <w:rFonts w:hint="eastAsia"/>
          <w:sz w:val="36"/>
          <w:szCs w:val="36"/>
        </w:rPr>
        <w:t>项目技术、服务要求</w:t>
      </w:r>
    </w:p>
    <w:p w14:paraId="5C07BBE0">
      <w:pPr>
        <w:tabs>
          <w:tab w:val="left" w:pos="2940"/>
        </w:tabs>
        <w:spacing w:line="480" w:lineRule="auto"/>
        <w:rPr>
          <w:rFonts w:hint="eastAsia" w:ascii="仿宋" w:hAnsi="仿宋" w:eastAsia="仿宋" w:cs="仿宋"/>
          <w:b/>
          <w:bCs/>
          <w:sz w:val="24"/>
          <w:highlight w:val="none"/>
        </w:rPr>
      </w:pPr>
      <w:r>
        <w:rPr>
          <w:rFonts w:hint="eastAsia" w:ascii="仿宋" w:hAnsi="仿宋" w:eastAsia="仿宋" w:cs="仿宋"/>
          <w:b/>
          <w:bCs/>
          <w:szCs w:val="21"/>
          <w:highlight w:val="none"/>
        </w:rPr>
        <w:t>一</w:t>
      </w:r>
      <w:r>
        <w:rPr>
          <w:rFonts w:hint="eastAsia" w:ascii="仿宋" w:hAnsi="仿宋" w:eastAsia="仿宋" w:cs="仿宋"/>
          <w:b/>
          <w:bCs/>
          <w:sz w:val="24"/>
          <w:highlight w:val="none"/>
        </w:rPr>
        <w:t>、项目概况</w:t>
      </w:r>
    </w:p>
    <w:p w14:paraId="31DBF84C">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bookmarkStart w:id="0" w:name="_Toc28778"/>
      <w:bookmarkStart w:id="1" w:name="_Toc18122"/>
      <w:r>
        <w:rPr>
          <w:rFonts w:hint="eastAsia" w:ascii="仿宋" w:hAnsi="仿宋" w:cs="仿宋"/>
          <w:b w:val="0"/>
          <w:bCs w:val="0"/>
          <w:color w:val="auto"/>
          <w:sz w:val="24"/>
          <w:highlight w:val="none"/>
          <w:lang w:val="en-US" w:eastAsia="zh-CN" w:bidi="en-US"/>
        </w:rPr>
        <w:t>1、项目概况及施工范围：</w:t>
      </w:r>
      <w:r>
        <w:rPr>
          <w:rFonts w:hint="eastAsia" w:ascii="仿宋" w:hAnsi="仿宋" w:cs="仿宋"/>
          <w:b w:val="0"/>
          <w:bCs w:val="0"/>
          <w:color w:val="auto"/>
          <w:sz w:val="24"/>
          <w:highlight w:val="none"/>
          <w:lang w:val="zh-CN" w:eastAsia="zh-CN" w:bidi="en-US"/>
        </w:rPr>
        <w:t>本工程为供水主线-18号线（圣灯镇乐只社区-付家桥社区）管网工程，设计起点位于圣灯镇乐只社区黄乐路与G348国道交叉口，设计终点位于胡家镇调峰泵站（付界路与G348国道交叉口位置），设计管径为DN300，采用PE100管，总长度5850m。</w:t>
      </w:r>
    </w:p>
    <w:p w14:paraId="7640CA90">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zh-CN" w:eastAsia="zh-CN" w:bidi="en-US"/>
        </w:rPr>
      </w:pPr>
      <w:r>
        <w:rPr>
          <w:rFonts w:hint="eastAsia" w:ascii="仿宋" w:hAnsi="仿宋" w:cs="仿宋"/>
          <w:b w:val="0"/>
          <w:bCs w:val="0"/>
          <w:color w:val="auto"/>
          <w:sz w:val="24"/>
          <w:highlight w:val="none"/>
          <w:lang w:val="en-US" w:eastAsia="zh-CN" w:bidi="en-US"/>
        </w:rPr>
        <w:t>2、施工内容：PE给水管道及管道附件安装、土石方开挖及回填、阀井砌筑等。</w:t>
      </w:r>
    </w:p>
    <w:p w14:paraId="0FF568E5">
      <w:pPr>
        <w:widowControl/>
        <w:numPr>
          <w:ilvl w:val="0"/>
          <w:numId w:val="0"/>
        </w:numPr>
        <w:snapToGrid w:val="0"/>
        <w:spacing w:line="480" w:lineRule="auto"/>
        <w:ind w:firstLine="480" w:firstLineChars="200"/>
        <w:textAlignment w:val="bottom"/>
        <w:rPr>
          <w:rFonts w:hint="eastAsia" w:ascii="仿宋" w:hAnsi="仿宋" w:cs="仿宋"/>
          <w:b w:val="0"/>
          <w:bCs w:val="0"/>
          <w:color w:val="auto"/>
          <w:sz w:val="24"/>
          <w:highlight w:val="none"/>
          <w:lang w:val="en-US" w:eastAsia="zh-CN" w:bidi="en-US"/>
        </w:rPr>
      </w:pPr>
      <w:r>
        <w:rPr>
          <w:rFonts w:hint="eastAsia" w:ascii="仿宋" w:hAnsi="仿宋" w:cs="仿宋"/>
          <w:b w:val="0"/>
          <w:bCs w:val="0"/>
          <w:color w:val="auto"/>
          <w:sz w:val="24"/>
          <w:highlight w:val="none"/>
          <w:lang w:val="en-US" w:eastAsia="zh-CN" w:bidi="en-US"/>
        </w:rPr>
        <w:t>3、技术要求：符合PE给水管道开挖，安装及回填等相关技术规范。</w:t>
      </w:r>
      <w:bookmarkEnd w:id="0"/>
    </w:p>
    <w:bookmarkEnd w:id="1"/>
    <w:p w14:paraId="6CE4310B">
      <w:pPr>
        <w:widowControl/>
        <w:numPr>
          <w:ilvl w:val="0"/>
          <w:numId w:val="0"/>
        </w:numPr>
        <w:snapToGrid w:val="0"/>
        <w:spacing w:line="480" w:lineRule="auto"/>
        <w:ind w:firstLine="480" w:firstLineChars="200"/>
        <w:textAlignment w:val="bottom"/>
        <w:rPr>
          <w:rFonts w:hint="default" w:ascii="仿宋" w:hAnsi="仿宋" w:eastAsia="仿宋" w:cs="仿宋"/>
          <w:b/>
          <w:bCs/>
          <w:color w:val="auto"/>
          <w:sz w:val="24"/>
          <w:highlight w:val="none"/>
          <w:lang w:val="en-US" w:eastAsia="zh-CN" w:bidi="en-US"/>
        </w:rPr>
        <w:sectPr>
          <w:footerReference r:id="rId3" w:type="default"/>
          <w:footerReference r:id="rId4" w:type="even"/>
          <w:pgSz w:w="11910" w:h="16840"/>
          <w:pgMar w:top="1440" w:right="1080" w:bottom="1440" w:left="1080" w:header="0" w:footer="1756" w:gutter="0"/>
          <w:pgNumType w:fmt="decimal"/>
          <w:cols w:space="720" w:num="1"/>
        </w:sectPr>
      </w:pPr>
      <w:r>
        <w:rPr>
          <w:rFonts w:hint="eastAsia" w:ascii="仿宋" w:hAnsi="仿宋" w:cs="仿宋"/>
          <w:b w:val="0"/>
          <w:bCs w:val="0"/>
          <w:color w:val="auto"/>
          <w:sz w:val="24"/>
          <w:highlight w:val="none"/>
          <w:lang w:val="en-US" w:eastAsia="zh-CN" w:bidi="en-US"/>
        </w:rPr>
        <w:t>4、工程量清单（详见附件）</w:t>
      </w:r>
    </w:p>
    <w:p w14:paraId="22856A53">
      <w:pPr>
        <w:pStyle w:val="2"/>
        <w:numPr>
          <w:ilvl w:val="0"/>
          <w:numId w:val="0"/>
        </w:numPr>
        <w:bidi w:val="0"/>
        <w:jc w:val="center"/>
        <w:rPr>
          <w:rFonts w:hint="default"/>
          <w:lang w:val="en-US" w:eastAsia="zh-CN"/>
        </w:rPr>
      </w:pPr>
      <w:bookmarkStart w:id="2" w:name="_Toc6064"/>
      <w:bookmarkStart w:id="3" w:name="_Toc31878"/>
      <w:bookmarkStart w:id="13" w:name="_GoBack"/>
      <w:bookmarkEnd w:id="13"/>
      <w:r>
        <w:rPr>
          <w:rFonts w:hint="eastAsia" w:ascii="宋体" w:hAnsi="宋体" w:cs="Times New Roman"/>
          <w:sz w:val="36"/>
          <w:szCs w:val="36"/>
          <w:lang w:val="en-US" w:eastAsia="zh-CN"/>
        </w:rPr>
        <w:t xml:space="preserve"> 实质性要求</w:t>
      </w:r>
      <w:bookmarkEnd w:id="2"/>
      <w:bookmarkEnd w:id="3"/>
    </w:p>
    <w:p w14:paraId="20D1D7A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4" w:name="_Toc28384"/>
      <w:r>
        <w:rPr>
          <w:rFonts w:hint="eastAsia" w:ascii="仿宋" w:hAnsi="仿宋" w:eastAsia="仿宋" w:cs="仿宋"/>
          <w:b/>
          <w:bCs/>
          <w:color w:val="000000"/>
          <w:kern w:val="0"/>
          <w:sz w:val="24"/>
          <w:szCs w:val="24"/>
          <w:highlight w:val="none"/>
          <w:lang w:val="en-US" w:eastAsia="zh-CN" w:bidi="ar-SA"/>
        </w:rPr>
        <w:t>一、工期</w:t>
      </w:r>
      <w:r>
        <w:rPr>
          <w:rFonts w:hint="eastAsia" w:ascii="仿宋" w:hAnsi="仿宋" w:eastAsia="仿宋" w:cs="仿宋"/>
          <w:b w:val="0"/>
          <w:bCs w:val="0"/>
          <w:color w:val="000000"/>
          <w:kern w:val="0"/>
          <w:sz w:val="24"/>
          <w:szCs w:val="24"/>
          <w:highlight w:val="none"/>
          <w:lang w:val="en-US" w:eastAsia="zh-CN" w:bidi="ar-SA"/>
        </w:rPr>
        <w:t>：150个日历天</w:t>
      </w:r>
      <w:bookmarkEnd w:id="4"/>
    </w:p>
    <w:p w14:paraId="60BBE7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5" w:name="_Toc26040"/>
      <w:r>
        <w:rPr>
          <w:rFonts w:hint="eastAsia" w:ascii="仿宋" w:hAnsi="仿宋" w:eastAsia="仿宋" w:cs="仿宋"/>
          <w:b/>
          <w:bCs/>
          <w:color w:val="000000"/>
          <w:kern w:val="0"/>
          <w:sz w:val="24"/>
          <w:szCs w:val="24"/>
          <w:highlight w:val="none"/>
          <w:lang w:val="en-US" w:eastAsia="zh-CN" w:bidi="ar-SA"/>
        </w:rPr>
        <w:t>二、付款方式</w:t>
      </w:r>
      <w:r>
        <w:rPr>
          <w:rFonts w:hint="eastAsia" w:ascii="仿宋" w:hAnsi="仿宋" w:eastAsia="仿宋" w:cs="仿宋"/>
          <w:b w:val="0"/>
          <w:bCs w:val="0"/>
          <w:color w:val="000000"/>
          <w:kern w:val="0"/>
          <w:sz w:val="24"/>
          <w:szCs w:val="24"/>
          <w:highlight w:val="none"/>
          <w:lang w:val="en-US" w:eastAsia="zh-CN" w:bidi="ar-SA"/>
        </w:rPr>
        <w:t>：1.开工7天前，甲方向乙方预付安全文明施工费：20000.00元（大写：贰万元整）；</w:t>
      </w:r>
      <w:bookmarkEnd w:id="5"/>
    </w:p>
    <w:p w14:paraId="04F426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6" w:name="_Toc8613"/>
      <w:r>
        <w:rPr>
          <w:rFonts w:hint="eastAsia" w:ascii="仿宋" w:hAnsi="仿宋" w:eastAsia="仿宋" w:cs="仿宋"/>
          <w:b w:val="0"/>
          <w:bCs w:val="0"/>
          <w:color w:val="000000"/>
          <w:kern w:val="0"/>
          <w:sz w:val="24"/>
          <w:szCs w:val="24"/>
          <w:highlight w:val="none"/>
          <w:lang w:val="en-US" w:eastAsia="zh-CN" w:bidi="ar-SA"/>
        </w:rPr>
        <w:t>2.在工程完成实际工程量的30%时，经甲方审核后，甲方向乙方支付至审核工程量的30%；在工程量完成实际工程量的50%时，甲方向乙方支付至审核工程量的50%；在工程量完成实际工程量的80%时，甲方向乙方支付至审核工程量的80%；工程全部竣工并验收合格和审计完结后，甲方向乙方支付支付至审计结算金额的97%，扣除的3%质保金待质保期满后无息退还。</w:t>
      </w:r>
      <w:bookmarkEnd w:id="6"/>
    </w:p>
    <w:p w14:paraId="4210F25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default" w:ascii="仿宋" w:hAnsi="仿宋" w:eastAsia="仿宋" w:cs="仿宋"/>
          <w:b w:val="0"/>
          <w:bCs w:val="0"/>
          <w:color w:val="000000"/>
          <w:kern w:val="0"/>
          <w:sz w:val="24"/>
          <w:szCs w:val="24"/>
          <w:highlight w:val="none"/>
          <w:lang w:val="en-US" w:eastAsia="zh-CN" w:bidi="ar-SA"/>
        </w:rPr>
      </w:pPr>
      <w:bookmarkStart w:id="7" w:name="_Toc2932"/>
      <w:r>
        <w:rPr>
          <w:rFonts w:hint="eastAsia" w:ascii="仿宋" w:hAnsi="仿宋" w:eastAsia="仿宋" w:cs="仿宋"/>
          <w:b/>
          <w:bCs/>
          <w:color w:val="000000"/>
          <w:kern w:val="0"/>
          <w:sz w:val="24"/>
          <w:szCs w:val="24"/>
          <w:highlight w:val="none"/>
          <w:lang w:val="en-US" w:eastAsia="zh-CN" w:bidi="ar-SA"/>
        </w:rPr>
        <w:t>三、验收方式</w:t>
      </w:r>
      <w:r>
        <w:rPr>
          <w:rFonts w:hint="eastAsia" w:ascii="仿宋" w:hAnsi="仿宋" w:eastAsia="仿宋" w:cs="仿宋"/>
          <w:b w:val="0"/>
          <w:bCs w:val="0"/>
          <w:color w:val="000000"/>
          <w:kern w:val="0"/>
          <w:sz w:val="24"/>
          <w:szCs w:val="24"/>
          <w:highlight w:val="none"/>
          <w:lang w:val="en-US" w:eastAsia="zh-CN" w:bidi="ar-SA"/>
        </w:rPr>
        <w:t>：工程完工后乙方应做好自检工作，自检合格后书面通知甲方，由甲、乙双方按《建筑给水排水及采暖工程施工质量验收规范》(GB50242-2002)组织对工程进行竣工验收。</w:t>
      </w:r>
      <w:bookmarkEnd w:id="7"/>
    </w:p>
    <w:p w14:paraId="7DCF56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hint="eastAsia" w:ascii="仿宋" w:hAnsi="仿宋" w:eastAsia="仿宋" w:cs="仿宋"/>
          <w:b/>
          <w:bCs/>
          <w:color w:val="000000"/>
          <w:kern w:val="0"/>
          <w:sz w:val="24"/>
          <w:szCs w:val="24"/>
          <w:highlight w:val="none"/>
          <w:lang w:val="en-US" w:eastAsia="zh-CN" w:bidi="ar-SA"/>
        </w:rPr>
      </w:pPr>
      <w:bookmarkStart w:id="8" w:name="_Toc14451"/>
      <w:r>
        <w:rPr>
          <w:rFonts w:hint="eastAsia" w:ascii="仿宋" w:hAnsi="仿宋" w:eastAsia="仿宋" w:cs="仿宋"/>
          <w:b/>
          <w:bCs/>
          <w:color w:val="000000"/>
          <w:kern w:val="0"/>
          <w:sz w:val="24"/>
          <w:szCs w:val="24"/>
          <w:highlight w:val="none"/>
          <w:lang w:val="en-US" w:eastAsia="zh-CN" w:bidi="ar-SA"/>
        </w:rPr>
        <w:t>四、违约责任</w:t>
      </w:r>
      <w:r>
        <w:rPr>
          <w:rFonts w:hint="eastAsia" w:ascii="仿宋" w:hAnsi="仿宋" w:eastAsia="仿宋" w:cs="仿宋"/>
          <w:b w:val="0"/>
          <w:bCs w:val="0"/>
          <w:color w:val="000000"/>
          <w:kern w:val="0"/>
          <w:sz w:val="24"/>
          <w:szCs w:val="24"/>
          <w:highlight w:val="none"/>
          <w:lang w:val="en-US" w:eastAsia="zh-CN" w:bidi="ar-SA"/>
        </w:rPr>
        <w:t>： 若因中选人原因，未能在规定时间内完成比选人安排的工作内容视为违约，按照采购 合同相关约定承担违约责任。</w:t>
      </w:r>
      <w:bookmarkEnd w:id="8"/>
    </w:p>
    <w:p w14:paraId="352C673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eastAsia="宋体" w:cs="宋体"/>
          <w:sz w:val="24"/>
          <w:szCs w:val="24"/>
        </w:rPr>
      </w:pPr>
      <w:bookmarkStart w:id="9" w:name="_Toc26788"/>
      <w:r>
        <w:rPr>
          <w:rFonts w:hint="eastAsia" w:ascii="仿宋" w:hAnsi="仿宋" w:eastAsia="仿宋" w:cs="仿宋"/>
          <w:b/>
          <w:bCs/>
          <w:color w:val="000000"/>
          <w:kern w:val="0"/>
          <w:sz w:val="24"/>
          <w:szCs w:val="24"/>
          <w:highlight w:val="none"/>
          <w:lang w:val="en-US" w:eastAsia="zh-CN" w:bidi="ar-SA"/>
        </w:rPr>
        <w:t>五、其他要求：</w:t>
      </w:r>
      <w:bookmarkEnd w:id="9"/>
      <w:r>
        <w:rPr>
          <w:rFonts w:ascii="宋体" w:hAnsi="宋体" w:eastAsia="宋体" w:cs="宋体"/>
          <w:sz w:val="24"/>
          <w:szCs w:val="24"/>
        </w:rPr>
        <w:t xml:space="preserve"> </w:t>
      </w:r>
    </w:p>
    <w:p w14:paraId="779D84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0" w:name="_Toc3890"/>
      <w:r>
        <w:rPr>
          <w:rFonts w:hint="eastAsia" w:ascii="仿宋" w:hAnsi="仿宋" w:eastAsia="仿宋" w:cs="仿宋"/>
          <w:b w:val="0"/>
          <w:bCs w:val="0"/>
          <w:color w:val="000000"/>
          <w:kern w:val="0"/>
          <w:sz w:val="24"/>
          <w:szCs w:val="24"/>
          <w:highlight w:val="none"/>
          <w:lang w:val="en-US" w:eastAsia="zh-CN" w:bidi="ar-SA"/>
        </w:rPr>
        <w:t>（一）质量要求：本工程必须满足设计及相关的国家验收合格标准。如未能达到所要 求的设计及相关的国家验收合格标准，返工产生的一切费用由中选人自行承担。</w:t>
      </w:r>
    </w:p>
    <w:p w14:paraId="0CC310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 xml:space="preserve"> （二）质保期：自竣工验收合格之日起 2 年内质支管线及户表工程施工的工程实体施工质量。</w:t>
      </w:r>
      <w:bookmarkEnd w:id="10"/>
      <w:r>
        <w:rPr>
          <w:rFonts w:hint="eastAsia" w:ascii="仿宋" w:hAnsi="仿宋" w:eastAsia="仿宋" w:cs="仿宋"/>
          <w:b w:val="0"/>
          <w:bCs w:val="0"/>
          <w:color w:val="000000"/>
          <w:kern w:val="0"/>
          <w:sz w:val="24"/>
          <w:szCs w:val="24"/>
          <w:highlight w:val="none"/>
          <w:lang w:val="en-US" w:eastAsia="zh-CN" w:bidi="ar-SA"/>
        </w:rPr>
        <w:t xml:space="preserve"> </w:t>
      </w:r>
    </w:p>
    <w:p w14:paraId="4F26B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b w:val="0"/>
          <w:bCs w:val="0"/>
          <w:color w:val="000000"/>
          <w:kern w:val="0"/>
          <w:sz w:val="24"/>
          <w:szCs w:val="24"/>
          <w:highlight w:val="none"/>
          <w:lang w:val="en-US" w:eastAsia="zh-CN" w:bidi="ar-SA"/>
        </w:rPr>
      </w:pPr>
      <w:bookmarkStart w:id="11" w:name="_Toc8213"/>
      <w:r>
        <w:rPr>
          <w:rFonts w:hint="eastAsia" w:ascii="仿宋" w:hAnsi="仿宋" w:eastAsia="仿宋" w:cs="仿宋"/>
          <w:b w:val="0"/>
          <w:bCs w:val="0"/>
          <w:color w:val="000000"/>
          <w:kern w:val="0"/>
          <w:sz w:val="24"/>
          <w:szCs w:val="24"/>
          <w:highlight w:val="none"/>
          <w:lang w:val="en-US" w:eastAsia="zh-CN" w:bidi="ar-SA"/>
        </w:rPr>
        <w:t>（三）缺陷责任期：自工程通过竣工验收之日起24个月。</w:t>
      </w:r>
      <w:bookmarkEnd w:id="11"/>
      <w:bookmarkStart w:id="12" w:name="_Toc8699"/>
    </w:p>
    <w:p w14:paraId="6AF4E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（四）安全和保险：中选人应按照相关规定为所有管理人员、施工人员购买相应的保 险，施工现场由于中选人的原因导致的一切安全事故和责任由中选人承担，且比选人有权 追溯中选人的一切责任</w:t>
      </w:r>
      <w:bookmarkEnd w:id="12"/>
      <w:r>
        <w:rPr>
          <w:rFonts w:hint="eastAsia" w:ascii="仿宋" w:hAnsi="仿宋" w:cs="仿宋"/>
          <w:b w:val="0"/>
          <w:bCs w:val="0"/>
          <w:color w:val="000000"/>
          <w:kern w:val="0"/>
          <w:sz w:val="24"/>
          <w:szCs w:val="24"/>
          <w:highlight w:val="none"/>
          <w:lang w:val="en-US" w:eastAsia="zh-CN" w:bidi="ar-SA"/>
        </w:rPr>
        <w:t>。</w:t>
      </w:r>
    </w:p>
    <w:p w14:paraId="07E5E36C">
      <w:r>
        <w:rPr>
          <w:rFonts w:hint="eastAsia" w:ascii="仿宋" w:hAnsi="仿宋" w:cs="仿宋"/>
          <w:b w:val="0"/>
          <w:bCs w:val="0"/>
          <w:color w:val="000000"/>
          <w:kern w:val="0"/>
          <w:sz w:val="24"/>
          <w:szCs w:val="24"/>
          <w:highlight w:val="none"/>
          <w:lang w:val="en-US" w:eastAsia="zh-CN" w:bidi="ar-SA"/>
        </w:rPr>
        <w:t>（五）安全责任：因</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单位未按标准进行安全施工、施工安全防护不到位及其他原因造成的安全事故、人员伤亡、临近建筑物损坏、财产损失的，由</w:t>
      </w:r>
      <w:r>
        <w:rPr>
          <w:rFonts w:hint="eastAsia" w:ascii="仿宋" w:hAnsi="仿宋" w:eastAsia="仿宋" w:cs="仿宋"/>
          <w:b w:val="0"/>
          <w:bCs w:val="0"/>
          <w:color w:val="000000"/>
          <w:kern w:val="0"/>
          <w:sz w:val="24"/>
          <w:szCs w:val="24"/>
          <w:highlight w:val="none"/>
          <w:lang w:val="en-US" w:eastAsia="zh-CN" w:bidi="ar-SA"/>
        </w:rPr>
        <w:t>中选</w:t>
      </w:r>
      <w:r>
        <w:rPr>
          <w:rFonts w:hint="eastAsia" w:ascii="仿宋" w:hAnsi="仿宋" w:cs="仿宋"/>
          <w:b w:val="0"/>
          <w:bCs w:val="0"/>
          <w:color w:val="000000"/>
          <w:kern w:val="0"/>
          <w:sz w:val="24"/>
          <w:szCs w:val="24"/>
          <w:highlight w:val="none"/>
          <w:lang w:val="en-US" w:eastAsia="zh-CN" w:bidi="ar-SA"/>
        </w:rPr>
        <w:t>单位承担全部赔偿事宜并承担相应的法律责任。</w:t>
      </w:r>
      <w:r>
        <w:rPr>
          <w:rFonts w:hint="eastAsia" w:ascii="仿宋" w:hAnsi="仿宋" w:cs="仿宋"/>
          <w:b/>
          <w:bCs/>
          <w:color w:val="000000"/>
          <w:kern w:val="0"/>
          <w:sz w:val="24"/>
          <w:szCs w:val="24"/>
          <w:highlight w:val="none"/>
          <w:lang w:val="en-US" w:eastAsia="zh-CN" w:bidi="ar-SA"/>
        </w:rPr>
        <w:t>（单独提供承诺函）</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4F19">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DBB87">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3FDBB87">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745CB5F7">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3D64">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973455</wp:posOffset>
              </wp:positionH>
              <wp:positionV relativeFrom="page">
                <wp:posOffset>6304280</wp:posOffset>
              </wp:positionV>
              <wp:extent cx="647700" cy="2222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222250"/>
                      </a:xfrm>
                      <a:prstGeom prst="rect">
                        <a:avLst/>
                      </a:prstGeom>
                      <a:noFill/>
                      <a:ln>
                        <a:noFill/>
                      </a:ln>
                      <a:effectLst/>
                    </wps:spPr>
                    <wps:txbx>
                      <w:txbxContent>
                        <w:p w14:paraId="2E6F5FCC">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6.65pt;margin-top:496.4pt;height:17.5pt;width:51pt;mso-position-horizontal-relative:page;mso-position-vertical-relative:page;z-index:-251657216;mso-width-relative:page;mso-height-relative:page;" filled="f" stroked="f" coordsize="21600,21600" o:gfxdata="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1UWE9kAAAAMAQAADwAAAAAAAAABACAAAAAiAAAAZHJzL2Rvd25yZXYueG1s&#10;UEsBAhQAFAAAAAgAh07iQBSflQm+AQAAfwMAAA4AAAAAAAAAAQAgAAAAKAEAAGRycy9lMm9Eb2Mu&#10;eG1sUEsFBgAAAAAGAAYAWQEAAFgFAAAAAA==&#10;">
              <v:path/>
              <v:fill on="f" focussize="0,0"/>
              <v:stroke on="f"/>
              <v:imagedata o:title=""/>
              <o:lock v:ext="edit" aspectratio="f"/>
              <v:textbox inset="0mm,0mm,0mm,0mm">
                <w:txbxContent>
                  <w:p w14:paraId="2E6F5FCC">
                    <w:pPr>
                      <w:spacing w:before="7"/>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28</w:t>
                    </w:r>
                    <w:r>
                      <w:fldChar w:fldCharType="end"/>
                    </w:r>
                    <w:r>
                      <w:rPr>
                        <w:rFonts w:ascii="Times New Roman" w:hAnsi="Times New Roman"/>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0C7D">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132C7">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132C7">
                    <w:pPr>
                      <w:pStyle w:val="5"/>
                    </w:pPr>
                    <w:r>
                      <w:fldChar w:fldCharType="begin"/>
                    </w:r>
                    <w:r>
                      <w:instrText xml:space="preserve"> PAGE  \* MERGEFORMAT </w:instrText>
                    </w:r>
                    <w:r>
                      <w:fldChar w:fldCharType="separate"/>
                    </w:r>
                    <w:r>
                      <w:t>33</w:t>
                    </w:r>
                    <w:r>
                      <w:fldChar w:fldCharType="end"/>
                    </w:r>
                  </w:p>
                </w:txbxContent>
              </v:textbox>
            </v:shape>
          </w:pict>
        </mc:Fallback>
      </mc:AlternateContent>
    </w:r>
  </w:p>
  <w:p w14:paraId="0E7C9D97">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1AAA"/>
    <w:rsid w:val="117162A6"/>
    <w:rsid w:val="3A6D3302"/>
    <w:rsid w:val="55525238"/>
    <w:rsid w:val="7AF4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sz w:val="28"/>
      <w:szCs w:val="22"/>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unhideWhenUsed/>
    <w:qFormat/>
    <w:uiPriority w:val="99"/>
    <w:pPr>
      <w:spacing w:after="120" w:line="240" w:lineRule="auto"/>
      <w:ind w:firstLine="420" w:firstLineChars="100"/>
    </w:pPr>
    <w:rPr>
      <w:color w:val="auto"/>
    </w:rPr>
  </w:style>
  <w:style w:type="paragraph" w:styleId="5">
    <w:name w:val="footer"/>
    <w:basedOn w:val="1"/>
    <w:qFormat/>
    <w:uiPriority w:val="0"/>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867</Characters>
  <Lines>0</Lines>
  <Paragraphs>0</Paragraphs>
  <TotalTime>0</TotalTime>
  <ScaleCrop>false</ScaleCrop>
  <LinksUpToDate>false</LinksUpToDate>
  <CharactersWithSpaces>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2025-09-08T03:24:00Z</dcterms:created>
  <dc:creator>Administrator</dc:creator>
  <cp:lastModifiedBy> Dang .</cp:lastModifiedBy>
  <dcterms:modified xsi:type="dcterms:W3CDTF">2025-09-08T03:32:43Z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A4FEAA603CEE4316942982FF7A5CFB64_12</vt:lpwstr>
  </property>
</Properties>
</file>