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0D707">
      <w:pPr>
        <w:pStyle w:val="3"/>
        <w:keepNext w:val="0"/>
        <w:keepLines w:val="0"/>
        <w:spacing w:line="360" w:lineRule="auto"/>
        <w:rPr>
          <w:rFonts w:ascii="宋体" w:hAnsi="宋体" w:cs="仿宋_GB2312"/>
          <w:sz w:val="24"/>
        </w:rPr>
      </w:pPr>
      <w:r>
        <w:rPr>
          <w:rFonts w:hint="eastAsia" w:ascii="宋体" w:hAnsi="宋体" w:cs="宋体"/>
        </w:rPr>
        <w:t>第五章 采购项目技术、服务、政府采购合同内容条 款及其他商务要求</w:t>
      </w:r>
      <w:bookmarkStart w:id="0" w:name="bookmark131"/>
      <w:bookmarkEnd w:id="0"/>
    </w:p>
    <w:p w14:paraId="67E64BD8">
      <w:pPr>
        <w:pStyle w:val="6"/>
        <w:widowControl/>
        <w:adjustRightInd w:val="0"/>
        <w:snapToGrid w:val="0"/>
        <w:spacing w:line="480" w:lineRule="auto"/>
        <w:ind w:firstLine="480"/>
        <w:jc w:val="left"/>
        <w:rPr>
          <w:rFonts w:ascii="宋体" w:hAnsi="宋体" w:cs="宋体"/>
          <w:sz w:val="24"/>
        </w:rPr>
      </w:pPr>
      <w:r>
        <w:rPr>
          <w:rFonts w:hint="eastAsia" w:ascii="宋体" w:hAnsi="宋体" w:cs="宋体"/>
          <w:sz w:val="24"/>
        </w:rPr>
        <w:t>一、项目概况：</w:t>
      </w:r>
      <w:r>
        <w:rPr>
          <w:rFonts w:ascii="宋体" w:hAnsi="宋体" w:cs="宋体"/>
          <w:sz w:val="24"/>
        </w:rPr>
        <w:t>为传承弘扬中华优秀传统文化及武则天历史名人文化，充分展现广元地方人文之美，擦亮“女皇故里·康养利州”城市名片，进一步丰富广大群众精神文化活动，提高人民群众的幸福感和获得感</w:t>
      </w:r>
      <w:r>
        <w:rPr>
          <w:rFonts w:hint="eastAsia" w:ascii="宋体" w:hAnsi="宋体" w:cs="宋体"/>
          <w:sz w:val="24"/>
        </w:rPr>
        <w:t>，特实施本项目。</w:t>
      </w:r>
    </w:p>
    <w:p w14:paraId="214DCC58">
      <w:pPr>
        <w:pStyle w:val="6"/>
        <w:widowControl/>
        <w:adjustRightInd w:val="0"/>
        <w:snapToGrid w:val="0"/>
        <w:spacing w:line="480" w:lineRule="auto"/>
        <w:ind w:firstLine="480"/>
        <w:jc w:val="left"/>
        <w:rPr>
          <w:rFonts w:ascii="宋体" w:hAnsi="宋体" w:cs="宋体"/>
          <w:sz w:val="24"/>
        </w:rPr>
      </w:pPr>
      <w:r>
        <w:rPr>
          <w:rFonts w:hint="eastAsia" w:ascii="宋体" w:hAnsi="宋体" w:cs="宋体"/>
          <w:sz w:val="24"/>
        </w:rPr>
        <w:t>二、服务内容：</w:t>
      </w:r>
    </w:p>
    <w:tbl>
      <w:tblPr>
        <w:tblStyle w:val="4"/>
        <w:tblW w:w="9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670"/>
        <w:gridCol w:w="6050"/>
      </w:tblGrid>
      <w:tr w14:paraId="4CEC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4F22C89E">
            <w:pPr>
              <w:pStyle w:val="6"/>
              <w:widowControl/>
              <w:adjustRightInd w:val="0"/>
              <w:snapToGrid w:val="0"/>
              <w:spacing w:line="480" w:lineRule="auto"/>
              <w:ind w:firstLine="0" w:firstLineChars="0"/>
              <w:jc w:val="center"/>
              <w:rPr>
                <w:rFonts w:hint="eastAsia" w:ascii="宋体" w:hAnsi="宋体" w:cs="宋体"/>
                <w:szCs w:val="21"/>
              </w:rPr>
            </w:pPr>
            <w:r>
              <w:rPr>
                <w:rFonts w:hint="eastAsia" w:ascii="宋体" w:hAnsi="宋体" w:cs="宋体"/>
                <w:szCs w:val="21"/>
              </w:rPr>
              <w:t>序列</w:t>
            </w:r>
          </w:p>
        </w:tc>
        <w:tc>
          <w:tcPr>
            <w:tcW w:w="2670" w:type="dxa"/>
            <w:noWrap w:val="0"/>
            <w:vAlign w:val="center"/>
          </w:tcPr>
          <w:p w14:paraId="68271685">
            <w:pPr>
              <w:pStyle w:val="6"/>
              <w:widowControl/>
              <w:adjustRightInd w:val="0"/>
              <w:snapToGrid w:val="0"/>
              <w:spacing w:line="480" w:lineRule="auto"/>
              <w:ind w:firstLine="0" w:firstLineChars="0"/>
              <w:jc w:val="center"/>
              <w:rPr>
                <w:rFonts w:hint="eastAsia" w:ascii="宋体" w:hAnsi="宋体" w:cs="宋体"/>
                <w:szCs w:val="21"/>
              </w:rPr>
            </w:pPr>
            <w:r>
              <w:rPr>
                <w:rFonts w:hint="eastAsia" w:ascii="宋体" w:hAnsi="宋体" w:cs="宋体"/>
                <w:szCs w:val="21"/>
              </w:rPr>
              <w:t>服务内容</w:t>
            </w:r>
          </w:p>
        </w:tc>
        <w:tc>
          <w:tcPr>
            <w:tcW w:w="6050" w:type="dxa"/>
            <w:noWrap w:val="0"/>
            <w:vAlign w:val="center"/>
          </w:tcPr>
          <w:p w14:paraId="24F1BDAD">
            <w:pPr>
              <w:pStyle w:val="6"/>
              <w:widowControl/>
              <w:adjustRightInd w:val="0"/>
              <w:snapToGrid w:val="0"/>
              <w:spacing w:line="480" w:lineRule="auto"/>
              <w:ind w:firstLine="0" w:firstLineChars="0"/>
              <w:jc w:val="center"/>
              <w:rPr>
                <w:rFonts w:hint="eastAsia" w:ascii="宋体" w:hAnsi="宋体" w:eastAsia="宋体" w:cs="宋体"/>
                <w:szCs w:val="21"/>
                <w:lang w:eastAsia="zh-CN"/>
              </w:rPr>
            </w:pPr>
            <w:r>
              <w:rPr>
                <w:rFonts w:hint="eastAsia" w:ascii="宋体" w:hAnsi="宋体" w:cs="宋体"/>
                <w:szCs w:val="21"/>
                <w:lang w:eastAsia="zh-CN"/>
              </w:rPr>
              <w:t>要求</w:t>
            </w:r>
          </w:p>
        </w:tc>
      </w:tr>
      <w:tr w14:paraId="4BAF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5BC6C5FB">
            <w:pPr>
              <w:pStyle w:val="6"/>
              <w:widowControl/>
              <w:adjustRightInd w:val="0"/>
              <w:snapToGrid w:val="0"/>
              <w:spacing w:line="480" w:lineRule="auto"/>
              <w:ind w:firstLine="420"/>
              <w:jc w:val="left"/>
              <w:rPr>
                <w:rFonts w:hint="eastAsia" w:ascii="宋体" w:hAnsi="宋体" w:cs="宋体"/>
                <w:szCs w:val="21"/>
              </w:rPr>
            </w:pPr>
            <w:r>
              <w:rPr>
                <w:rFonts w:hint="eastAsia" w:ascii="宋体" w:hAnsi="宋体" w:cs="宋体"/>
                <w:szCs w:val="21"/>
              </w:rPr>
              <w:t>1</w:t>
            </w:r>
          </w:p>
        </w:tc>
        <w:tc>
          <w:tcPr>
            <w:tcW w:w="2670" w:type="dxa"/>
            <w:noWrap w:val="0"/>
            <w:vAlign w:val="center"/>
          </w:tcPr>
          <w:p w14:paraId="5D51239B">
            <w:pPr>
              <w:jc w:val="center"/>
              <w:rPr>
                <w:rFonts w:hint="eastAsia" w:ascii="宋体" w:hAnsi="宋体" w:eastAsia="宋体" w:cs="宋体"/>
                <w:szCs w:val="21"/>
                <w:lang w:eastAsia="zh-CN"/>
              </w:rPr>
            </w:pPr>
            <w:r>
              <w:rPr>
                <w:rFonts w:hint="eastAsia" w:ascii="宋体" w:hAnsi="宋体" w:cs="宋体"/>
                <w:szCs w:val="21"/>
              </w:rPr>
              <w:t>启动仪式氛围包装搭建</w:t>
            </w:r>
          </w:p>
        </w:tc>
        <w:tc>
          <w:tcPr>
            <w:tcW w:w="6050" w:type="dxa"/>
            <w:noWrap w:val="0"/>
            <w:vAlign w:val="center"/>
          </w:tcPr>
          <w:p w14:paraId="5B7C5F1D">
            <w:pPr>
              <w:pStyle w:val="6"/>
              <w:widowControl/>
              <w:adjustRightInd w:val="0"/>
              <w:snapToGrid w:val="0"/>
              <w:spacing w:line="480" w:lineRule="auto"/>
              <w:ind w:firstLine="0" w:firstLineChars="0"/>
              <w:jc w:val="center"/>
              <w:rPr>
                <w:rFonts w:hint="default" w:ascii="宋体" w:hAnsi="宋体" w:eastAsia="宋体" w:cs="宋体"/>
                <w:szCs w:val="21"/>
                <w:lang w:val="en-US" w:eastAsia="zh-CN"/>
              </w:rPr>
            </w:pPr>
            <w:r>
              <w:rPr>
                <w:rFonts w:hint="eastAsia" w:ascii="宋体" w:hAnsi="宋体" w:cs="宋体"/>
                <w:szCs w:val="21"/>
                <w:lang w:eastAsia="zh-CN"/>
              </w:rPr>
              <w:t>舞台规格长</w:t>
            </w:r>
            <w:r>
              <w:rPr>
                <w:rFonts w:hint="eastAsia" w:ascii="宋体" w:hAnsi="宋体" w:cs="宋体"/>
                <w:szCs w:val="21"/>
                <w:lang w:val="en-US" w:eastAsia="zh-CN"/>
              </w:rPr>
              <w:t>16米，宽10米，高0.8米，舞台背景高5米，长16米，需提供线阵音响、话筒一套。舞台设置在皇泽寺瞾字广场，供应商需到现场自行勘察提供舞台设计方案及后续的搭建、拆除工作。（舞台搭建工作需在2025年2月18日完成）</w:t>
            </w:r>
          </w:p>
        </w:tc>
      </w:tr>
      <w:tr w14:paraId="0F67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37FA8438">
            <w:pPr>
              <w:pStyle w:val="6"/>
              <w:widowControl/>
              <w:adjustRightInd w:val="0"/>
              <w:snapToGrid w:val="0"/>
              <w:spacing w:line="480" w:lineRule="auto"/>
              <w:ind w:firstLine="420"/>
              <w:jc w:val="both"/>
              <w:rPr>
                <w:rFonts w:hint="eastAsia" w:ascii="宋体" w:hAnsi="宋体" w:cs="宋体"/>
                <w:szCs w:val="21"/>
              </w:rPr>
            </w:pPr>
            <w:r>
              <w:rPr>
                <w:rFonts w:hint="eastAsia" w:ascii="宋体" w:hAnsi="宋体" w:cs="宋体"/>
                <w:szCs w:val="21"/>
              </w:rPr>
              <w:t>2</w:t>
            </w:r>
          </w:p>
        </w:tc>
        <w:tc>
          <w:tcPr>
            <w:tcW w:w="2670" w:type="dxa"/>
            <w:noWrap w:val="0"/>
            <w:vAlign w:val="center"/>
          </w:tcPr>
          <w:p w14:paraId="270DB2A5">
            <w:pPr>
              <w:jc w:val="center"/>
              <w:rPr>
                <w:rFonts w:ascii="宋体" w:hAnsi="宋体" w:cs="宋体"/>
                <w:szCs w:val="21"/>
              </w:rPr>
            </w:pPr>
            <w:r>
              <w:rPr>
                <w:rFonts w:hint="eastAsia" w:ascii="宋体" w:hAnsi="宋体" w:cs="宋体"/>
                <w:szCs w:val="21"/>
              </w:rPr>
              <w:t>唐风集市</w:t>
            </w:r>
            <w:r>
              <w:rPr>
                <w:rFonts w:hint="eastAsia" w:ascii="宋体" w:hAnsi="宋体" w:cs="宋体"/>
                <w:szCs w:val="21"/>
                <w:lang w:eastAsia="zh-CN"/>
              </w:rPr>
              <w:t>入口龙门架</w:t>
            </w:r>
            <w:r>
              <w:rPr>
                <w:rFonts w:hint="eastAsia" w:ascii="宋体" w:hAnsi="宋体" w:cs="宋体"/>
                <w:szCs w:val="21"/>
              </w:rPr>
              <w:t>包装搭建</w:t>
            </w:r>
          </w:p>
        </w:tc>
        <w:tc>
          <w:tcPr>
            <w:tcW w:w="6050" w:type="dxa"/>
            <w:noWrap w:val="0"/>
            <w:vAlign w:val="center"/>
          </w:tcPr>
          <w:p w14:paraId="7A93C918">
            <w:pPr>
              <w:pStyle w:val="6"/>
              <w:widowControl/>
              <w:adjustRightInd w:val="0"/>
              <w:snapToGrid w:val="0"/>
              <w:spacing w:line="480" w:lineRule="auto"/>
              <w:ind w:firstLine="0" w:firstLineChars="0"/>
              <w:jc w:val="center"/>
              <w:rPr>
                <w:rFonts w:hint="eastAsia" w:ascii="宋体" w:hAnsi="宋体" w:cs="宋体"/>
                <w:szCs w:val="21"/>
              </w:rPr>
            </w:pPr>
            <w:r>
              <w:rPr>
                <w:rFonts w:hint="eastAsia" w:ascii="宋体" w:hAnsi="宋体" w:cs="宋体"/>
                <w:szCs w:val="21"/>
                <w:lang w:eastAsia="zh-CN"/>
              </w:rPr>
              <w:t>位置凤街入口，</w:t>
            </w:r>
            <w:r>
              <w:rPr>
                <w:rFonts w:hint="eastAsia" w:ascii="宋体" w:hAnsi="宋体" w:cs="宋体"/>
                <w:szCs w:val="21"/>
              </w:rPr>
              <w:t>供应商需到现场自行勘察提供设计方案及后续的搭建、拆除工作。</w:t>
            </w:r>
            <w:r>
              <w:rPr>
                <w:rFonts w:hint="eastAsia" w:ascii="宋体" w:hAnsi="宋体" w:cs="宋体"/>
                <w:szCs w:val="21"/>
                <w:lang w:val="en-US" w:eastAsia="zh-CN"/>
              </w:rPr>
              <w:t>（舞台搭建工作需在2025年2月18日完成）</w:t>
            </w:r>
          </w:p>
        </w:tc>
      </w:tr>
      <w:tr w14:paraId="04EF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2C8D2B67">
            <w:pPr>
              <w:pStyle w:val="6"/>
              <w:widowControl/>
              <w:adjustRightInd w:val="0"/>
              <w:snapToGrid w:val="0"/>
              <w:spacing w:line="480" w:lineRule="auto"/>
              <w:ind w:firstLine="420"/>
              <w:jc w:val="both"/>
              <w:rPr>
                <w:rFonts w:hint="eastAsia" w:ascii="宋体" w:hAnsi="宋体" w:cs="宋体"/>
                <w:szCs w:val="21"/>
              </w:rPr>
            </w:pPr>
            <w:r>
              <w:rPr>
                <w:rFonts w:hint="eastAsia" w:ascii="宋体" w:hAnsi="宋体" w:cs="宋体"/>
                <w:szCs w:val="21"/>
              </w:rPr>
              <w:t>3</w:t>
            </w:r>
          </w:p>
        </w:tc>
        <w:tc>
          <w:tcPr>
            <w:tcW w:w="2670" w:type="dxa"/>
            <w:noWrap w:val="0"/>
            <w:vAlign w:val="center"/>
          </w:tcPr>
          <w:p w14:paraId="26C2469D">
            <w:pPr>
              <w:jc w:val="center"/>
              <w:rPr>
                <w:rFonts w:hint="eastAsia" w:ascii="宋体" w:hAnsi="宋体" w:eastAsia="宋体" w:cs="宋体"/>
                <w:szCs w:val="21"/>
                <w:lang w:val="en-US" w:eastAsia="zh-CN"/>
              </w:rPr>
            </w:pPr>
            <w:r>
              <w:rPr>
                <w:rFonts w:hint="eastAsia" w:ascii="宋体" w:hAnsi="宋体" w:cs="宋体"/>
                <w:szCs w:val="21"/>
              </w:rPr>
              <w:t>唐风打卡点、展演包装</w:t>
            </w:r>
          </w:p>
        </w:tc>
        <w:tc>
          <w:tcPr>
            <w:tcW w:w="6050" w:type="dxa"/>
            <w:noWrap w:val="0"/>
            <w:vAlign w:val="center"/>
          </w:tcPr>
          <w:p w14:paraId="65536ACC">
            <w:pPr>
              <w:pStyle w:val="6"/>
              <w:widowControl/>
              <w:adjustRightInd w:val="0"/>
              <w:snapToGrid w:val="0"/>
              <w:spacing w:line="480" w:lineRule="auto"/>
              <w:ind w:firstLine="0" w:firstLineChars="0"/>
              <w:jc w:val="center"/>
              <w:rPr>
                <w:rFonts w:hint="eastAsia" w:ascii="宋体" w:hAnsi="宋体" w:cs="宋体"/>
                <w:szCs w:val="21"/>
              </w:rPr>
            </w:pPr>
            <w:r>
              <w:rPr>
                <w:rFonts w:hint="eastAsia" w:ascii="宋体" w:hAnsi="宋体" w:cs="宋体"/>
                <w:szCs w:val="21"/>
              </w:rPr>
              <w:t>皇泽寺瞾字广场—凤街——铁桥沿线，设置10个汉风唐韵的国风通关打卡体验区(唐风礼仪教学、投壶、木射、锤丸、蹴鞠、猜灯谜、蝶恋花、写武则天自创字、投币祈福、好运</w:t>
            </w:r>
          </w:p>
          <w:p w14:paraId="27B46990">
            <w:pPr>
              <w:pStyle w:val="6"/>
              <w:widowControl/>
              <w:adjustRightInd w:val="0"/>
              <w:snapToGrid w:val="0"/>
              <w:spacing w:line="480" w:lineRule="auto"/>
              <w:ind w:firstLine="0" w:firstLineChars="0"/>
              <w:jc w:val="center"/>
              <w:rPr>
                <w:rFonts w:hint="eastAsia" w:ascii="宋体" w:hAnsi="宋体" w:eastAsia="宋体" w:cs="宋体"/>
                <w:szCs w:val="21"/>
                <w:lang w:eastAsia="zh-CN"/>
              </w:rPr>
            </w:pPr>
            <w:r>
              <w:rPr>
                <w:rFonts w:hint="eastAsia" w:ascii="宋体" w:hAnsi="宋体" w:cs="宋体"/>
                <w:szCs w:val="21"/>
              </w:rPr>
              <w:t>乒乓球),为打卡群众发放《通关文牒》,增强群众互动体验与获 得感。</w:t>
            </w:r>
            <w:r>
              <w:rPr>
                <w:rFonts w:hint="eastAsia" w:ascii="宋体" w:hAnsi="宋体" w:cs="宋体"/>
                <w:szCs w:val="21"/>
                <w:lang w:eastAsia="zh-CN"/>
              </w:rPr>
              <w:t>供应商需到现场自行勘察提供设计方案及后续的搭建、拆除工作。</w:t>
            </w:r>
            <w:r>
              <w:rPr>
                <w:rFonts w:hint="eastAsia" w:ascii="宋体" w:hAnsi="宋体" w:cs="宋体"/>
                <w:szCs w:val="21"/>
                <w:lang w:val="en-US" w:eastAsia="zh-CN"/>
              </w:rPr>
              <w:t>（舞台搭建工作需在2025年2月18日完成）</w:t>
            </w:r>
          </w:p>
        </w:tc>
      </w:tr>
      <w:tr w14:paraId="54D9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5B431318">
            <w:pPr>
              <w:pStyle w:val="6"/>
              <w:widowControl/>
              <w:adjustRightInd w:val="0"/>
              <w:snapToGrid w:val="0"/>
              <w:spacing w:line="480" w:lineRule="auto"/>
              <w:ind w:firstLine="420"/>
              <w:jc w:val="both"/>
              <w:rPr>
                <w:rFonts w:hint="eastAsia" w:ascii="宋体" w:hAnsi="宋体" w:cs="宋体"/>
                <w:szCs w:val="21"/>
              </w:rPr>
            </w:pPr>
            <w:r>
              <w:rPr>
                <w:rFonts w:hint="eastAsia" w:ascii="宋体" w:hAnsi="宋体" w:cs="宋体"/>
                <w:szCs w:val="21"/>
              </w:rPr>
              <w:t>4</w:t>
            </w:r>
          </w:p>
        </w:tc>
        <w:tc>
          <w:tcPr>
            <w:tcW w:w="2670" w:type="dxa"/>
            <w:noWrap w:val="0"/>
            <w:vAlign w:val="center"/>
          </w:tcPr>
          <w:p w14:paraId="4E2022C5">
            <w:pPr>
              <w:jc w:val="center"/>
              <w:rPr>
                <w:rFonts w:ascii="宋体" w:hAnsi="宋体" w:cs="宋体"/>
                <w:szCs w:val="21"/>
              </w:rPr>
            </w:pPr>
            <w:r>
              <w:rPr>
                <w:rFonts w:hint="eastAsia" w:ascii="宋体" w:hAnsi="宋体" w:cs="宋体"/>
                <w:szCs w:val="21"/>
              </w:rPr>
              <w:t>凤舞利州踏歌音响</w:t>
            </w:r>
          </w:p>
        </w:tc>
        <w:tc>
          <w:tcPr>
            <w:tcW w:w="6050" w:type="dxa"/>
            <w:noWrap w:val="0"/>
            <w:vAlign w:val="center"/>
          </w:tcPr>
          <w:p w14:paraId="51E716C1">
            <w:pPr>
              <w:pStyle w:val="6"/>
              <w:widowControl/>
              <w:adjustRightInd w:val="0"/>
              <w:snapToGrid w:val="0"/>
              <w:spacing w:line="480" w:lineRule="auto"/>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cs="宋体"/>
                <w:szCs w:val="21"/>
                <w:lang w:eastAsia="zh-CN"/>
              </w:rPr>
              <w:t>套</w:t>
            </w:r>
          </w:p>
        </w:tc>
      </w:tr>
      <w:tr w14:paraId="1056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35B7D5AB">
            <w:pPr>
              <w:pStyle w:val="6"/>
              <w:widowControl/>
              <w:adjustRightInd w:val="0"/>
              <w:snapToGrid w:val="0"/>
              <w:spacing w:line="480" w:lineRule="auto"/>
              <w:ind w:firstLine="420"/>
              <w:jc w:val="both"/>
              <w:rPr>
                <w:rFonts w:hint="eastAsia" w:ascii="宋体" w:hAnsi="宋体" w:cs="宋体"/>
                <w:szCs w:val="21"/>
              </w:rPr>
            </w:pPr>
            <w:r>
              <w:rPr>
                <w:rFonts w:hint="eastAsia" w:ascii="宋体" w:hAnsi="宋体" w:cs="宋体"/>
                <w:szCs w:val="21"/>
              </w:rPr>
              <w:t>5</w:t>
            </w:r>
          </w:p>
        </w:tc>
        <w:tc>
          <w:tcPr>
            <w:tcW w:w="2670" w:type="dxa"/>
            <w:noWrap w:val="0"/>
            <w:vAlign w:val="center"/>
          </w:tcPr>
          <w:p w14:paraId="2C8DF554">
            <w:pPr>
              <w:jc w:val="center"/>
              <w:rPr>
                <w:rFonts w:hint="eastAsia" w:ascii="宋体" w:hAnsi="宋体" w:eastAsia="宋体" w:cs="宋体"/>
                <w:szCs w:val="21"/>
                <w:lang w:eastAsia="zh-CN"/>
              </w:rPr>
            </w:pPr>
            <w:r>
              <w:rPr>
                <w:rFonts w:hint="eastAsia" w:ascii="宋体" w:hAnsi="宋体" w:cs="宋体"/>
                <w:szCs w:val="21"/>
              </w:rPr>
              <w:t>唐风女子集体筓礼</w:t>
            </w:r>
            <w:r>
              <w:rPr>
                <w:rFonts w:hint="eastAsia" w:ascii="宋体" w:hAnsi="宋体" w:cs="宋体"/>
                <w:szCs w:val="21"/>
                <w:lang w:eastAsia="zh-CN"/>
              </w:rPr>
              <w:t>背景搭建</w:t>
            </w:r>
          </w:p>
        </w:tc>
        <w:tc>
          <w:tcPr>
            <w:tcW w:w="6050" w:type="dxa"/>
            <w:noWrap w:val="0"/>
            <w:vAlign w:val="center"/>
          </w:tcPr>
          <w:p w14:paraId="4128B4FB">
            <w:pPr>
              <w:pStyle w:val="6"/>
              <w:widowControl/>
              <w:adjustRightInd w:val="0"/>
              <w:snapToGrid w:val="0"/>
              <w:spacing w:line="480" w:lineRule="auto"/>
              <w:ind w:firstLine="0" w:firstLineChars="0"/>
              <w:jc w:val="both"/>
              <w:rPr>
                <w:rFonts w:hint="eastAsia" w:ascii="宋体" w:hAnsi="宋体" w:eastAsia="宋体" w:cs="宋体"/>
                <w:szCs w:val="21"/>
                <w:lang w:eastAsia="zh-CN"/>
              </w:rPr>
            </w:pPr>
            <w:r>
              <w:rPr>
                <w:rFonts w:hint="eastAsia" w:ascii="宋体" w:hAnsi="宋体" w:cs="宋体"/>
                <w:szCs w:val="21"/>
                <w:lang w:eastAsia="zh-CN"/>
              </w:rPr>
              <w:t>位置在皇泽码头广场，供应商需到现场自行勘察提供设计方案及后续的搭建、拆除工作。（舞台搭建工作需在2025年2月18日完成）</w:t>
            </w:r>
          </w:p>
        </w:tc>
      </w:tr>
    </w:tbl>
    <w:p w14:paraId="764F2B11">
      <w:pPr>
        <w:pStyle w:val="6"/>
        <w:widowControl/>
        <w:adjustRightInd w:val="0"/>
        <w:snapToGrid w:val="0"/>
        <w:spacing w:line="480" w:lineRule="auto"/>
        <w:ind w:firstLine="480"/>
        <w:jc w:val="left"/>
        <w:rPr>
          <w:rFonts w:hint="eastAsia" w:ascii="宋体" w:hAnsi="宋体" w:cs="宋体"/>
          <w:sz w:val="24"/>
        </w:rPr>
      </w:pPr>
    </w:p>
    <w:p w14:paraId="7806A9A6">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三、服务要求：</w:t>
      </w:r>
    </w:p>
    <w:p w14:paraId="43787A2F">
      <w:pPr>
        <w:spacing w:line="480" w:lineRule="auto"/>
        <w:ind w:firstLine="480" w:firstLineChars="200"/>
      </w:pPr>
      <w:r>
        <w:rPr>
          <w:rFonts w:hint="eastAsia" w:ascii="宋体" w:hAnsi="宋体" w:cs="宋体"/>
          <w:sz w:val="24"/>
        </w:rPr>
        <w:t>★1、</w:t>
      </w:r>
      <w:r>
        <w:rPr>
          <w:rFonts w:ascii="宋体" w:hAnsi="宋体" w:cs="宋体"/>
          <w:sz w:val="24"/>
        </w:rPr>
        <w:t>供应商需提供项目所需相关专业设施设备，</w:t>
      </w:r>
      <w:r>
        <w:rPr>
          <w:rFonts w:hint="eastAsia" w:ascii="宋体" w:hAnsi="宋体" w:cs="宋体"/>
          <w:sz w:val="24"/>
          <w:lang w:eastAsia="zh-CN"/>
        </w:rPr>
        <w:t>舞台效果设计、</w:t>
      </w:r>
      <w:r>
        <w:rPr>
          <w:rFonts w:ascii="宋体" w:hAnsi="宋体" w:cs="宋体"/>
          <w:sz w:val="24"/>
        </w:rPr>
        <w:t>安装、拆除、运输等由供应商负责。舞台和观众席所有结构设计安全稳固，施工材料安全环保，并且搭建结构、防火等设计上应符合国家和行业相关要求，确保施工质量。项目执行结束后，须还原活动场地原来的风貌。</w:t>
      </w:r>
    </w:p>
    <w:p w14:paraId="00FFEB44">
      <w:pPr>
        <w:spacing w:line="480" w:lineRule="auto"/>
        <w:ind w:firstLine="480" w:firstLineChars="200"/>
        <w:rPr>
          <w:rFonts w:hint="eastAsia" w:ascii="宋体" w:hAnsi="宋体" w:cs="宋体"/>
          <w:sz w:val="24"/>
        </w:rPr>
      </w:pPr>
      <w:r>
        <w:rPr>
          <w:rFonts w:hint="eastAsia" w:ascii="宋体" w:hAnsi="宋体" w:cs="宋体"/>
          <w:sz w:val="24"/>
        </w:rPr>
        <w:t>2、</w:t>
      </w:r>
      <w:r>
        <w:rPr>
          <w:rFonts w:ascii="宋体" w:hAnsi="宋体" w:cs="宋体"/>
          <w:sz w:val="24"/>
        </w:rPr>
        <w:t xml:space="preserve">供应商提供的服务应符合或优于国家相关标准、行业标准、地方标准或者其他标准、规范要求。 </w:t>
      </w:r>
    </w:p>
    <w:p w14:paraId="5B2038BC">
      <w:pPr>
        <w:spacing w:line="48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、灯光系统及音响系统的排布需符合现场舞台效果需求，</w:t>
      </w:r>
      <w:r>
        <w:rPr>
          <w:rFonts w:hint="eastAsia" w:ascii="宋体" w:hAnsi="宋体" w:cs="宋体"/>
          <w:sz w:val="24"/>
        </w:rPr>
        <w:t>成交</w:t>
      </w:r>
      <w:r>
        <w:rPr>
          <w:rFonts w:ascii="宋体" w:hAnsi="宋体" w:cs="宋体"/>
          <w:sz w:val="24"/>
        </w:rPr>
        <w:t xml:space="preserve">供应商自行拟定具体的灯光音响排布方案，并报采购人审定。灯光、音响等设备的配装和布线需避免安全隐患，保障项目的安全实施； </w:t>
      </w:r>
    </w:p>
    <w:p w14:paraId="3F4CE64F">
      <w:pPr>
        <w:spacing w:line="480" w:lineRule="auto"/>
        <w:ind w:firstLine="480" w:firstLineChars="200"/>
        <w:rPr>
          <w:rFonts w:hint="eastAsia"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成交</w:t>
      </w:r>
      <w:r>
        <w:rPr>
          <w:rFonts w:ascii="宋体" w:hAnsi="宋体" w:cs="宋体"/>
          <w:sz w:val="24"/>
        </w:rPr>
        <w:t>供应商在采购人指定场地进行舞台搭建，需在汇演活动开展时间前完成搭建和调试，并确保搭建不存在安全隐患，符合消防及安全要求；</w:t>
      </w:r>
    </w:p>
    <w:p w14:paraId="67DCA709">
      <w:pPr>
        <w:spacing w:line="48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成交</w:t>
      </w:r>
      <w:r>
        <w:rPr>
          <w:rFonts w:ascii="宋体" w:hAnsi="宋体" w:cs="宋体"/>
          <w:sz w:val="24"/>
        </w:rPr>
        <w:t>供应商在项目全程所使用的物料及设备均为合格安全环保的产品，不得采用劣质及有安全隐患的产品；</w:t>
      </w:r>
    </w:p>
    <w:p w14:paraId="16B31B53">
      <w:pPr>
        <w:spacing w:line="480" w:lineRule="auto"/>
        <w:ind w:firstLine="480" w:firstLineChars="200"/>
        <w:rPr>
          <w:rFonts w:hint="eastAsia" w:ascii="宋体" w:hAnsi="宋体" w:cs="宋体"/>
          <w:sz w:val="24"/>
        </w:rPr>
      </w:pPr>
      <w:r>
        <w:rPr>
          <w:rFonts w:hint="eastAsia" w:ascii="宋体" w:hAnsi="宋体" w:cs="宋体"/>
          <w:sz w:val="24"/>
        </w:rPr>
        <w:t>6、成交</w:t>
      </w:r>
      <w:r>
        <w:rPr>
          <w:rFonts w:ascii="宋体" w:hAnsi="宋体" w:cs="宋体"/>
          <w:sz w:val="24"/>
        </w:rPr>
        <w:t>供应商定期及时向采购人通告本项目服务范围内有关服务的重大事项及其进度。</w:t>
      </w:r>
    </w:p>
    <w:p w14:paraId="02699E13">
      <w:pPr>
        <w:spacing w:line="480" w:lineRule="auto"/>
        <w:ind w:firstLine="480" w:firstLineChars="200"/>
        <w:rPr>
          <w:rFonts w:hint="eastAsia" w:ascii="宋体" w:hAnsi="宋体" w:cs="宋体"/>
          <w:sz w:val="24"/>
        </w:rPr>
      </w:pPr>
      <w:r>
        <w:rPr>
          <w:rFonts w:hint="eastAsia" w:ascii="宋体" w:hAnsi="宋体" w:cs="宋体"/>
          <w:sz w:val="24"/>
        </w:rPr>
        <w:t>7、成交供应商要强化合作、加强沟通、密切联系，积极配合、主动作为、无缝衔接，确保任务落实到位、工作高效推进。</w:t>
      </w:r>
    </w:p>
    <w:p w14:paraId="2ED0A565">
      <w:pPr>
        <w:spacing w:line="480" w:lineRule="auto"/>
        <w:ind w:firstLine="480" w:firstLineChars="200"/>
        <w:rPr>
          <w:rFonts w:ascii="宋体" w:hAnsi="宋体" w:cs="宋体"/>
          <w:sz w:val="24"/>
        </w:rPr>
      </w:pPr>
      <w:r>
        <w:rPr>
          <w:rFonts w:hint="eastAsia" w:ascii="宋体" w:hAnsi="宋体" w:cs="宋体"/>
          <w:sz w:val="24"/>
        </w:rPr>
        <w:t>四、商务要求：</w:t>
      </w:r>
    </w:p>
    <w:p w14:paraId="51B2CA35">
      <w:pPr>
        <w:spacing w:line="480" w:lineRule="auto"/>
        <w:ind w:firstLine="480" w:firstLineChars="200"/>
        <w:rPr>
          <w:rFonts w:ascii="宋体" w:hAnsi="宋体" w:cs="宋体"/>
          <w:sz w:val="24"/>
        </w:rPr>
      </w:pPr>
      <w:r>
        <w:rPr>
          <w:rFonts w:hint="eastAsia" w:ascii="宋体" w:hAnsi="宋体" w:cs="宋体"/>
          <w:sz w:val="24"/>
        </w:rPr>
        <w:t>1、服务时间：</w:t>
      </w:r>
      <w:r>
        <w:rPr>
          <w:rFonts w:ascii="宋体" w:hAnsi="宋体" w:cs="宋体"/>
          <w:sz w:val="24"/>
        </w:rPr>
        <w:t>2025年2月20日—23日。</w:t>
      </w:r>
    </w:p>
    <w:p w14:paraId="2DAA4AE6">
      <w:pPr>
        <w:spacing w:line="480" w:lineRule="auto"/>
        <w:ind w:firstLine="480" w:firstLineChars="200"/>
        <w:rPr>
          <w:rFonts w:ascii="宋体" w:hAnsi="宋体" w:cs="宋体"/>
          <w:sz w:val="24"/>
        </w:rPr>
      </w:pPr>
      <w:r>
        <w:rPr>
          <w:rFonts w:hint="eastAsia" w:ascii="宋体" w:hAnsi="宋体" w:cs="宋体"/>
          <w:sz w:val="24"/>
        </w:rPr>
        <w:t>2、服务地点：皇泽寺-凤街-铁桥-凤翔楼及嘉陵江栖凤湖段。</w:t>
      </w:r>
    </w:p>
    <w:p w14:paraId="210D0698">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3、付款方式：采购人与成交供应商在合同中自行约定。</w:t>
      </w:r>
    </w:p>
    <w:p w14:paraId="25F55A01">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4、报价要求：本报价是供应商完成本项目所有内容的最终报价，包含产品（材料）、安装、调试、拆除前的维护、运输、装卸、拆除、人工、税金、安装所需安装辅材、电线电气材料等供应商履约本项目所需要的所有费用，采购人不再额外支付任何费用。若因供应商原因造成的漏报、错报而导致本项目无法履行的，由供应商自行负责，采购人不再承担其他任何费用。</w:t>
      </w:r>
    </w:p>
    <w:p w14:paraId="32B9D0BB">
      <w:pPr>
        <w:pStyle w:val="6"/>
        <w:widowControl/>
        <w:adjustRightInd w:val="0"/>
        <w:snapToGrid w:val="0"/>
        <w:spacing w:line="480" w:lineRule="auto"/>
        <w:ind w:firstLine="480"/>
        <w:jc w:val="left"/>
        <w:rPr>
          <w:rFonts w:ascii="宋体" w:hAnsi="宋体" w:cs="宋体"/>
          <w:sz w:val="24"/>
        </w:rPr>
      </w:pPr>
      <w:r>
        <w:rPr>
          <w:rFonts w:hint="eastAsia" w:ascii="宋体" w:hAnsi="宋体" w:cs="宋体"/>
          <w:sz w:val="24"/>
        </w:rPr>
        <w:t>5、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048359B6">
      <w:pPr>
        <w:pStyle w:val="6"/>
        <w:widowControl/>
        <w:adjustRightInd w:val="0"/>
        <w:snapToGrid w:val="0"/>
        <w:spacing w:line="480" w:lineRule="auto"/>
        <w:ind w:firstLine="480"/>
        <w:jc w:val="left"/>
        <w:rPr>
          <w:rFonts w:hint="eastAsia"/>
        </w:rPr>
      </w:pPr>
      <w:r>
        <w:rPr>
          <w:rFonts w:hint="eastAsia" w:ascii="宋体" w:hAnsi="宋体" w:cs="宋体"/>
          <w:sz w:val="24"/>
        </w:rPr>
        <w:t>6、其他未尽事项双方合同中约定。</w:t>
      </w:r>
    </w:p>
    <w:p w14:paraId="156C98D7">
      <w:pPr>
        <w:pStyle w:val="3"/>
        <w:keepNext w:val="0"/>
        <w:keepLines w:val="0"/>
        <w:jc w:val="left"/>
        <w:rPr>
          <w:rFonts w:hint="eastAsia"/>
        </w:rPr>
      </w:pPr>
      <w:r>
        <w:rPr>
          <w:rFonts w:hint="eastAsia" w:ascii="宋体" w:hAnsi="宋体" w:cs="宋体"/>
          <w:sz w:val="24"/>
        </w:rPr>
        <w:t>★项内容为本项目实质性要求，必须满足，否则做无效投标处理。</w:t>
      </w:r>
    </w:p>
    <w:p w14:paraId="490FCE7C">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2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Calibri" w:hAnsi="Calibri" w:eastAsia="宋体"/>
      <w:b/>
      <w:bCs/>
      <w:kern w:val="44"/>
      <w:sz w:val="36"/>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2025-06-05T09:31:40Z</dcterms:created>
  <dc:creator>Administrator</dc:creator>
  <cp:lastModifiedBy>1</cp:lastModifiedBy>
  <dcterms:modified xsi:type="dcterms:W3CDTF">2025-06-05T09:32:18Z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E27AD35FB7824EF28A22458EDEF20F6E_12</vt:lpwstr>
  </property>
</Properties>
</file>